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jpeg" ContentType="image/jpeg"/>
  <Override PartName="/word/media/image3.png" ContentType="image/png"/>
  <Override PartName="/word/media/image4.jpeg" ContentType="image/jpe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1.xml.rels" ContentType="application/vnd.openxmlformats-package.relationships+xml"/>
  <Override PartName="/word/_rels/head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4395" w:hanging="3544"/>
        <w:rPr>
          <w:b/>
          <w:bCs/>
          <w:sz w:val="22"/>
          <w:szCs w:val="22"/>
        </w:rPr>
      </w:pPr>
      <w:r>
        <w:rPr>
          <w:b/>
          <w:bCs/>
          <w:sz w:val="22"/>
          <w:szCs w:val="22"/>
        </w:rPr>
      </w:r>
    </w:p>
    <w:p>
      <w:pPr>
        <w:pStyle w:val="Normal"/>
        <w:rPr>
          <w:rFonts w:ascii="Arial" w:hAnsi="Arial" w:cs="Arial"/>
        </w:rPr>
      </w:pPr>
      <w:r>
        <w:rPr>
          <w:rFonts w:eastAsia="Arial" w:cs="Arial" w:ascii="Arial" w:hAnsi="Arial"/>
          <w:b/>
          <w:bCs/>
          <w:sz w:val="24"/>
          <w:szCs w:val="24"/>
        </w:rPr>
        <w:t xml:space="preserve">        </w:t>
      </w:r>
      <w:r>
        <w:rPr>
          <w:rFonts w:eastAsia="Arial" w:cs="Arial" w:ascii="Arial" w:hAnsi="Arial"/>
          <w:b/>
          <w:bCs/>
          <w:sz w:val="24"/>
          <w:szCs w:val="24"/>
        </w:rPr>
        <w:t>LEI Nº 1.769</w:t>
      </w:r>
      <w:r>
        <w:rPr>
          <w:rFonts w:eastAsia="Arial" w:cs="Arial" w:ascii="Arial" w:hAnsi="Arial"/>
          <w:b/>
          <w:bCs/>
          <w:spacing w:val="20"/>
          <w:sz w:val="24"/>
          <w:szCs w:val="24"/>
        </w:rPr>
        <w:t>, de 05 de agosto</w:t>
      </w:r>
      <w:bookmarkStart w:id="0" w:name="_GoBack"/>
      <w:bookmarkEnd w:id="0"/>
      <w:r>
        <w:rPr>
          <w:rFonts w:eastAsia="Arial" w:cs="Arial" w:ascii="Arial" w:hAnsi="Arial"/>
          <w:b/>
          <w:bCs/>
          <w:spacing w:val="20"/>
          <w:sz w:val="24"/>
          <w:szCs w:val="24"/>
        </w:rPr>
        <w:t xml:space="preserve"> de 2024.</w:t>
      </w:r>
    </w:p>
    <w:p>
      <w:pPr>
        <w:pStyle w:val="Normal"/>
        <w:ind w:left="4395" w:hanging="3544"/>
        <w:jc w:val="center"/>
        <w:rPr>
          <w:b/>
          <w:bCs/>
          <w:sz w:val="22"/>
          <w:szCs w:val="22"/>
        </w:rPr>
      </w:pPr>
      <w:r>
        <w:rPr>
          <w:b/>
          <w:bCs/>
          <w:sz w:val="22"/>
          <w:szCs w:val="22"/>
        </w:rPr>
      </w:r>
    </w:p>
    <w:p>
      <w:pPr>
        <w:pStyle w:val="Normal"/>
        <w:ind w:left="4395" w:hanging="3544"/>
        <w:jc w:val="center"/>
        <w:rPr>
          <w:b/>
          <w:bCs/>
          <w:sz w:val="22"/>
          <w:szCs w:val="22"/>
        </w:rPr>
      </w:pPr>
      <w:r>
        <w:rPr>
          <w:b/>
          <w:bCs/>
          <w:sz w:val="22"/>
          <w:szCs w:val="22"/>
        </w:rPr>
      </w:r>
    </w:p>
    <w:p>
      <w:pPr>
        <w:pStyle w:val="Normal"/>
        <w:ind w:left="4395" w:hanging="3544"/>
        <w:jc w:val="center"/>
        <w:rPr>
          <w:b/>
          <w:bCs/>
          <w:sz w:val="22"/>
          <w:szCs w:val="22"/>
        </w:rPr>
      </w:pPr>
      <w:r>
        <w:rPr>
          <w:b/>
          <w:bCs/>
          <w:sz w:val="22"/>
          <w:szCs w:val="22"/>
        </w:rPr>
      </w:r>
    </w:p>
    <w:p>
      <w:pPr>
        <w:pStyle w:val="Normal"/>
        <w:tabs>
          <w:tab w:val="clear" w:pos="708"/>
          <w:tab w:val="left" w:pos="1440" w:leader="none"/>
          <w:tab w:val="left" w:pos="2880" w:leader="none"/>
          <w:tab w:val="left" w:pos="4200" w:leader="none"/>
        </w:tabs>
        <w:ind w:left="4200" w:hanging="0"/>
        <w:jc w:val="both"/>
        <w:rPr>
          <w:rFonts w:ascii="Arial" w:hAnsi="Arial" w:eastAsia="Calibri" w:cs="Arial"/>
          <w:b/>
          <w:sz w:val="24"/>
          <w:szCs w:val="24"/>
          <w:lang w:eastAsia="en-US"/>
        </w:rPr>
      </w:pPr>
      <w:r>
        <w:rPr>
          <w:rFonts w:eastAsia="Calibri" w:cs="Arial" w:ascii="Arial" w:hAnsi="Arial"/>
          <w:b/>
          <w:bCs/>
          <w:sz w:val="24"/>
          <w:szCs w:val="24"/>
          <w:lang w:eastAsia="en-US"/>
        </w:rPr>
        <w:t>EMENTA:</w:t>
        <w:tab/>
      </w:r>
      <w:r>
        <w:rPr>
          <w:rFonts w:eastAsia="Calibri" w:cs="Arial" w:ascii="Arial" w:hAnsi="Arial"/>
          <w:b/>
          <w:sz w:val="24"/>
          <w:szCs w:val="24"/>
          <w:lang w:eastAsia="en-US"/>
        </w:rPr>
        <w:t xml:space="preserve">DISPÕE SOBRE AS DIRETRIZES PARA A ELABORAÇÃO DA LEI ORÇAMENTÁRIA PARA O EXERCÍCIO DE 2025, E DÁ OUTRAS PROVIDÊNCIAS. </w:t>
      </w:r>
    </w:p>
    <w:p>
      <w:pPr>
        <w:pStyle w:val="Normal"/>
        <w:ind w:left="510" w:hanging="3544"/>
        <w:jc w:val="center"/>
        <w:rPr>
          <w:rFonts w:ascii="Arial" w:hAnsi="Arial" w:cs="Arial"/>
          <w:b/>
          <w:bCs/>
          <w:sz w:val="24"/>
          <w:szCs w:val="24"/>
        </w:rPr>
      </w:pPr>
      <w:r>
        <w:rPr>
          <w:rFonts w:cs="Arial" w:ascii="Arial" w:hAnsi="Arial"/>
          <w:b/>
          <w:bCs/>
          <w:sz w:val="24"/>
          <w:szCs w:val="24"/>
        </w:rPr>
      </w:r>
    </w:p>
    <w:p>
      <w:pPr>
        <w:pStyle w:val="Normal"/>
        <w:ind w:left="510" w:hanging="0"/>
        <w:jc w:val="both"/>
        <w:rPr>
          <w:rFonts w:ascii="Arial" w:hAnsi="Arial" w:cs="Arial"/>
          <w:sz w:val="24"/>
          <w:szCs w:val="24"/>
        </w:rPr>
      </w:pPr>
      <w:r>
        <w:rPr>
          <w:rFonts w:cs="Arial" w:ascii="Arial" w:hAnsi="Arial"/>
          <w:b/>
          <w:bCs/>
          <w:sz w:val="24"/>
          <w:szCs w:val="24"/>
        </w:rPr>
        <w:tab/>
        <w:tab/>
      </w:r>
    </w:p>
    <w:p>
      <w:pPr>
        <w:pStyle w:val="Normal"/>
        <w:tabs>
          <w:tab w:val="clear" w:pos="708"/>
          <w:tab w:val="left" w:pos="0" w:leader="none"/>
          <w:tab w:val="left" w:pos="2880" w:leader="none"/>
        </w:tabs>
        <w:ind w:left="510" w:hanging="0"/>
        <w:jc w:val="both"/>
        <w:rPr>
          <w:rFonts w:ascii="Arial" w:hAnsi="Arial" w:cs="Arial"/>
          <w:sz w:val="24"/>
          <w:szCs w:val="24"/>
        </w:rPr>
      </w:pPr>
      <w:r>
        <w:rPr>
          <w:rFonts w:eastAsia="Calibri" w:cs="Arial" w:ascii="Arial" w:hAnsi="Arial"/>
          <w:sz w:val="24"/>
          <w:szCs w:val="24"/>
          <w:lang w:eastAsia="en-US"/>
        </w:rPr>
        <w:tab/>
      </w:r>
      <w:r>
        <w:rPr>
          <w:rFonts w:eastAsia="Calibri" w:cs="Arial" w:ascii="Arial" w:hAnsi="Arial"/>
          <w:b/>
          <w:sz w:val="24"/>
          <w:szCs w:val="24"/>
          <w:lang w:eastAsia="en-US"/>
        </w:rPr>
        <w:t>O PREFEITO MUNICIPAL DE PIRAÍ</w:t>
      </w:r>
      <w:r>
        <w:rPr>
          <w:rFonts w:eastAsia="Calibri" w:cs="Arial" w:ascii="Arial" w:hAnsi="Arial"/>
          <w:sz w:val="24"/>
          <w:szCs w:val="24"/>
          <w:lang w:eastAsia="en-US"/>
        </w:rPr>
        <w:t xml:space="preserve"> Estado do Rio de Janeiro faz saber a todos os habitantes do Município, que a Câmara Municipal aprovou e ele sanciona a seguinte Lei:</w:t>
      </w:r>
    </w:p>
    <w:p>
      <w:pPr>
        <w:pStyle w:val="Normal"/>
        <w:ind w:left="510" w:hanging="851"/>
        <w:jc w:val="both"/>
        <w:rPr>
          <w:rFonts w:ascii="Arial" w:hAnsi="Arial" w:cs="Arial"/>
          <w:b/>
          <w:bCs/>
          <w:sz w:val="24"/>
          <w:szCs w:val="24"/>
        </w:rPr>
      </w:pPr>
      <w:r>
        <w:rPr>
          <w:rFonts w:cs="Arial" w:ascii="Arial" w:hAnsi="Arial"/>
          <w:b/>
          <w:sz w:val="24"/>
          <w:szCs w:val="24"/>
        </w:rPr>
        <w:tab/>
      </w:r>
      <w:r>
        <w:rPr>
          <w:rFonts w:cs="Arial" w:ascii="Arial" w:hAnsi="Arial"/>
          <w:sz w:val="24"/>
          <w:szCs w:val="24"/>
        </w:rPr>
        <w:tab/>
        <w:tab/>
      </w:r>
    </w:p>
    <w:p>
      <w:pPr>
        <w:pStyle w:val="Normal"/>
        <w:ind w:left="510" w:hanging="0"/>
        <w:jc w:val="center"/>
        <w:rPr>
          <w:rFonts w:ascii="Arial" w:hAnsi="Arial" w:cs="Arial"/>
          <w:sz w:val="24"/>
          <w:szCs w:val="24"/>
        </w:rPr>
      </w:pPr>
      <w:r>
        <w:rPr>
          <w:rFonts w:cs="Arial" w:ascii="Arial" w:hAnsi="Arial"/>
          <w:b/>
          <w:bCs/>
          <w:sz w:val="24"/>
          <w:szCs w:val="24"/>
        </w:rPr>
        <w:tab/>
        <w:t>CAPÍTULO I</w:t>
      </w:r>
    </w:p>
    <w:p>
      <w:pPr>
        <w:pStyle w:val="Normal"/>
        <w:ind w:left="510" w:hanging="0"/>
        <w:jc w:val="center"/>
        <w:rPr>
          <w:rFonts w:ascii="Arial" w:hAnsi="Arial" w:cs="Arial"/>
          <w:sz w:val="24"/>
          <w:szCs w:val="24"/>
        </w:rPr>
      </w:pPr>
      <w:r>
        <w:rPr>
          <w:rFonts w:cs="Arial" w:ascii="Arial" w:hAnsi="Arial"/>
          <w:b/>
          <w:bCs/>
          <w:sz w:val="24"/>
          <w:szCs w:val="24"/>
        </w:rPr>
        <w:t>DAS DISPOSIÇÕES PRELIMINARES</w:t>
      </w:r>
    </w:p>
    <w:p>
      <w:pPr>
        <w:pStyle w:val="Normal"/>
        <w:ind w:left="510" w:hanging="0"/>
        <w:jc w:val="center"/>
        <w:rPr>
          <w:rFonts w:ascii="Arial" w:hAnsi="Arial" w:cs="Arial"/>
          <w:b/>
          <w:bCs/>
          <w:sz w:val="24"/>
          <w:szCs w:val="24"/>
        </w:rPr>
      </w:pPr>
      <w:r>
        <w:rPr>
          <w:rFonts w:cs="Arial" w:ascii="Arial" w:hAnsi="Arial"/>
          <w:b/>
          <w:bCs/>
          <w:sz w:val="24"/>
          <w:szCs w:val="24"/>
        </w:rPr>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Art. 1º -</w:t>
      </w:r>
      <w:r>
        <w:rPr>
          <w:rFonts w:eastAsia="Calibri" w:cs="Arial" w:ascii="Arial" w:hAnsi="Arial"/>
          <w:sz w:val="24"/>
          <w:szCs w:val="24"/>
          <w:lang w:eastAsia="en-US"/>
        </w:rPr>
        <w:t xml:space="preserve"> O Orçamento do Município de Pirai, Estado do Rio de Janeiro, para o exercício de 2025 será elaborado e executado observando as diretrizes, objetivos, prioridades e metas estabelecidas nesta lei, compreendendo:</w:t>
      </w:r>
    </w:p>
    <w:p>
      <w:pPr>
        <w:pStyle w:val="Normal"/>
        <w:tabs>
          <w:tab w:val="clear" w:pos="708"/>
          <w:tab w:val="left" w:pos="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54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 xml:space="preserve">I   </w:t>
      </w:r>
      <w:r>
        <w:rPr>
          <w:rFonts w:eastAsia="Calibri" w:cs="Arial" w:ascii="Arial" w:hAnsi="Arial"/>
          <w:sz w:val="24"/>
          <w:szCs w:val="24"/>
          <w:lang w:eastAsia="en-US"/>
        </w:rPr>
        <w:t xml:space="preserve"> - as Metas Fiscais;</w:t>
      </w:r>
    </w:p>
    <w:p>
      <w:pPr>
        <w:pStyle w:val="Normal"/>
        <w:tabs>
          <w:tab w:val="clear" w:pos="708"/>
          <w:tab w:val="left" w:pos="0" w:leader="none"/>
          <w:tab w:val="left" w:pos="54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II</w:t>
        <w:tab/>
      </w:r>
      <w:r>
        <w:rPr>
          <w:rFonts w:eastAsia="Calibri" w:cs="Arial" w:ascii="Arial" w:hAnsi="Arial"/>
          <w:sz w:val="24"/>
          <w:szCs w:val="24"/>
          <w:lang w:eastAsia="en-US"/>
        </w:rPr>
        <w:t xml:space="preserve">          - as Prioridades da Administração Municipal; </w:t>
      </w:r>
    </w:p>
    <w:p>
      <w:pPr>
        <w:pStyle w:val="Normal"/>
        <w:tabs>
          <w:tab w:val="clear" w:pos="708"/>
          <w:tab w:val="left" w:pos="0" w:leader="none"/>
          <w:tab w:val="left" w:pos="54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III</w:t>
      </w:r>
      <w:r>
        <w:rPr>
          <w:rFonts w:eastAsia="Calibri" w:cs="Arial" w:ascii="Arial" w:hAnsi="Arial"/>
          <w:sz w:val="24"/>
          <w:szCs w:val="24"/>
          <w:lang w:eastAsia="en-US"/>
        </w:rPr>
        <w:tab/>
        <w:t>- a Estrutura dos Orçamentos;</w:t>
      </w:r>
    </w:p>
    <w:p>
      <w:pPr>
        <w:pStyle w:val="Normal"/>
        <w:tabs>
          <w:tab w:val="clear" w:pos="708"/>
          <w:tab w:val="left" w:pos="0" w:leader="none"/>
          <w:tab w:val="left" w:pos="54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IV</w:t>
      </w:r>
      <w:r>
        <w:rPr>
          <w:rFonts w:eastAsia="Calibri" w:cs="Arial" w:ascii="Arial" w:hAnsi="Arial"/>
          <w:sz w:val="24"/>
          <w:szCs w:val="24"/>
          <w:lang w:eastAsia="en-US"/>
        </w:rPr>
        <w:tab/>
        <w:t>- as Diretrizes para a Elaboração do Orçamento do Município;</w:t>
      </w:r>
    </w:p>
    <w:p>
      <w:pPr>
        <w:pStyle w:val="Normal"/>
        <w:tabs>
          <w:tab w:val="clear" w:pos="708"/>
          <w:tab w:val="left" w:pos="0" w:leader="none"/>
          <w:tab w:val="left" w:pos="54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 xml:space="preserve">V </w:t>
      </w:r>
      <w:r>
        <w:rPr>
          <w:rFonts w:eastAsia="Calibri" w:cs="Arial" w:ascii="Arial" w:hAnsi="Arial"/>
          <w:sz w:val="24"/>
          <w:szCs w:val="24"/>
          <w:lang w:eastAsia="en-US"/>
        </w:rPr>
        <w:tab/>
        <w:t>- as Disposições sobre a Dívida Pública Municipal;</w:t>
      </w:r>
    </w:p>
    <w:p>
      <w:pPr>
        <w:pStyle w:val="Normal"/>
        <w:tabs>
          <w:tab w:val="clear" w:pos="708"/>
          <w:tab w:val="left" w:pos="0" w:leader="none"/>
          <w:tab w:val="left" w:pos="54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 xml:space="preserve">VI </w:t>
      </w:r>
      <w:r>
        <w:rPr>
          <w:rFonts w:eastAsia="Calibri" w:cs="Arial" w:ascii="Arial" w:hAnsi="Arial"/>
          <w:sz w:val="24"/>
          <w:szCs w:val="24"/>
          <w:lang w:eastAsia="en-US"/>
        </w:rPr>
        <w:tab/>
        <w:t>- as Disposições sobre Despesas com Pessoal;</w:t>
      </w:r>
    </w:p>
    <w:p>
      <w:pPr>
        <w:pStyle w:val="Normal"/>
        <w:tabs>
          <w:tab w:val="clear" w:pos="708"/>
          <w:tab w:val="left" w:pos="0" w:leader="none"/>
          <w:tab w:val="left" w:pos="54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VII</w:t>
      </w:r>
      <w:r>
        <w:rPr>
          <w:rFonts w:eastAsia="Calibri" w:cs="Arial" w:ascii="Arial" w:hAnsi="Arial"/>
          <w:sz w:val="24"/>
          <w:szCs w:val="24"/>
          <w:lang w:eastAsia="en-US"/>
        </w:rPr>
        <w:tab/>
        <w:t>- as Disposições sobre Alterações na Legislação Tributária; e</w:t>
      </w:r>
    </w:p>
    <w:p>
      <w:pPr>
        <w:pStyle w:val="Normal"/>
        <w:tabs>
          <w:tab w:val="clear" w:pos="708"/>
          <w:tab w:val="left" w:pos="0" w:leader="none"/>
          <w:tab w:val="left" w:pos="54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 xml:space="preserve">VIII </w:t>
      </w:r>
      <w:r>
        <w:rPr>
          <w:rFonts w:eastAsia="Calibri" w:cs="Arial" w:ascii="Arial" w:hAnsi="Arial"/>
          <w:sz w:val="24"/>
          <w:szCs w:val="24"/>
          <w:lang w:eastAsia="en-US"/>
        </w:rPr>
        <w:tab/>
        <w:t>- as Disposições Gerais.</w:t>
      </w:r>
    </w:p>
    <w:p>
      <w:pPr>
        <w:pStyle w:val="Normal"/>
        <w:ind w:left="510" w:hanging="0"/>
        <w:jc w:val="center"/>
        <w:rPr>
          <w:rFonts w:ascii="Arial" w:hAnsi="Arial" w:cs="Arial"/>
          <w:b/>
          <w:bCs/>
          <w:sz w:val="24"/>
          <w:szCs w:val="24"/>
        </w:rPr>
      </w:pPr>
      <w:r>
        <w:rPr>
          <w:rFonts w:cs="Arial" w:ascii="Arial" w:hAnsi="Arial"/>
          <w:b/>
          <w:bCs/>
          <w:sz w:val="24"/>
          <w:szCs w:val="24"/>
        </w:rPr>
      </w:r>
    </w:p>
    <w:p>
      <w:pPr>
        <w:pStyle w:val="Normal"/>
        <w:ind w:left="510" w:hanging="0"/>
        <w:jc w:val="center"/>
        <w:rPr>
          <w:rFonts w:ascii="Arial" w:hAnsi="Arial" w:cs="Arial"/>
          <w:b/>
          <w:bCs/>
          <w:sz w:val="24"/>
          <w:szCs w:val="24"/>
        </w:rPr>
      </w:pPr>
      <w:r>
        <w:rPr>
          <w:rFonts w:cs="Arial" w:ascii="Arial" w:hAnsi="Arial"/>
          <w:b/>
          <w:bCs/>
          <w:sz w:val="24"/>
          <w:szCs w:val="24"/>
        </w:rPr>
        <w:t>CAPÍTULO II</w:t>
      </w:r>
    </w:p>
    <w:p>
      <w:pPr>
        <w:pStyle w:val="Normal"/>
        <w:keepNext w:val="true"/>
        <w:tabs>
          <w:tab w:val="clear" w:pos="708"/>
          <w:tab w:val="left" w:pos="2880" w:leader="none"/>
        </w:tabs>
        <w:ind w:left="510" w:hanging="0"/>
        <w:jc w:val="center"/>
        <w:rPr>
          <w:rFonts w:ascii="Arial" w:hAnsi="Arial" w:eastAsia="Calibri" w:cs="Arial"/>
          <w:b/>
          <w:bCs/>
          <w:sz w:val="24"/>
          <w:szCs w:val="24"/>
          <w:lang w:eastAsia="en-US"/>
        </w:rPr>
      </w:pPr>
      <w:r>
        <w:rPr>
          <w:rFonts w:eastAsia="Calibri" w:cs="Arial" w:ascii="Arial" w:hAnsi="Arial"/>
          <w:b/>
          <w:bCs/>
          <w:sz w:val="24"/>
          <w:szCs w:val="24"/>
          <w:lang w:eastAsia="en-US"/>
        </w:rPr>
        <w:t>DAS METAS FISCAIS</w:t>
      </w:r>
    </w:p>
    <w:p>
      <w:pPr>
        <w:pStyle w:val="Normal"/>
        <w:keepNext w:val="true"/>
        <w:tabs>
          <w:tab w:val="clear" w:pos="708"/>
          <w:tab w:val="left" w:pos="2880" w:leader="none"/>
        </w:tabs>
        <w:ind w:left="510" w:hanging="0"/>
        <w:jc w:val="center"/>
        <w:rPr>
          <w:rFonts w:ascii="Arial" w:hAnsi="Arial" w:eastAsia="Calibri" w:cs="Arial"/>
          <w:b/>
          <w:bCs/>
          <w:sz w:val="24"/>
          <w:szCs w:val="24"/>
          <w:lang w:eastAsia="en-US"/>
        </w:rPr>
      </w:pPr>
      <w:r>
        <w:rPr>
          <w:rFonts w:eastAsia="Calibri" w:cs="Arial" w:ascii="Arial" w:hAnsi="Arial"/>
          <w:b/>
          <w:bCs/>
          <w:sz w:val="24"/>
          <w:szCs w:val="24"/>
          <w:lang w:eastAsia="en-US"/>
        </w:rPr>
      </w:r>
    </w:p>
    <w:p>
      <w:pPr>
        <w:pStyle w:val="Normal"/>
        <w:tabs>
          <w:tab w:val="clear" w:pos="708"/>
          <w:tab w:val="left" w:pos="288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Art. 2º -</w:t>
      </w:r>
      <w:r>
        <w:rPr>
          <w:rFonts w:eastAsia="Calibri" w:cs="Arial" w:ascii="Arial" w:hAnsi="Arial"/>
          <w:sz w:val="24"/>
          <w:szCs w:val="24"/>
          <w:lang w:eastAsia="en-US"/>
        </w:rPr>
        <w:t xml:space="preserve"> Em cumprimento ao estabelecido no artigo 4º da Lei Complementar nº 101, de 4 de maio de 2000, as metas fiscais de receitas, despesas, resultado primário, nominal e montante da dívida pública para o exercício de 2024, estão identificados nos Demonstrativos desta Lei, em conformidade com a Portaria STN nº 699, de 07 de julho de 2023</w:t>
      </w:r>
    </w:p>
    <w:p>
      <w:pPr>
        <w:pStyle w:val="Normal"/>
        <w:tabs>
          <w:tab w:val="clear" w:pos="708"/>
          <w:tab w:val="left" w:pos="2880" w:leader="none"/>
        </w:tabs>
        <w:ind w:left="510" w:hanging="0"/>
        <w:jc w:val="both"/>
        <w:rPr>
          <w:rFonts w:ascii="Arial" w:hAnsi="Arial" w:cs="Arial"/>
          <w:sz w:val="24"/>
          <w:szCs w:val="24"/>
          <w:lang w:eastAsia="pt-BR"/>
        </w:rPr>
      </w:pPr>
      <w:r>
        <w:rPr>
          <w:rFonts w:eastAsia="Calibri" w:cs="Arial" w:ascii="Arial" w:hAnsi="Arial"/>
          <w:sz w:val="24"/>
          <w:szCs w:val="24"/>
          <w:lang w:eastAsia="en-US"/>
        </w:rPr>
        <w:tab/>
      </w:r>
      <w:r>
        <w:rPr>
          <w:rFonts w:cs="Arial" w:ascii="Arial" w:hAnsi="Arial"/>
          <w:b/>
          <w:sz w:val="24"/>
          <w:szCs w:val="24"/>
          <w:lang w:eastAsia="pt-BR"/>
        </w:rPr>
        <w:t>Art. 3º -</w:t>
      </w:r>
      <w:r>
        <w:rPr>
          <w:rFonts w:cs="Arial" w:ascii="Arial" w:hAnsi="Arial"/>
          <w:sz w:val="24"/>
          <w:szCs w:val="24"/>
          <w:lang w:eastAsia="pt-BR"/>
        </w:rPr>
        <w:t xml:space="preserve"> A Lei Orçamentária Anual abrangerá as Entidades da Administração Direta e Indireta que recebem recursos do Orçamento Fiscal e da Seguridade Social.</w:t>
      </w:r>
    </w:p>
    <w:p>
      <w:pPr>
        <w:pStyle w:val="Normal"/>
        <w:tabs>
          <w:tab w:val="clear" w:pos="708"/>
          <w:tab w:val="left" w:pos="288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288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Art. 4º -</w:t>
      </w:r>
      <w:r>
        <w:rPr>
          <w:rFonts w:eastAsia="Calibri" w:cs="Arial" w:ascii="Arial" w:hAnsi="Arial"/>
          <w:sz w:val="24"/>
          <w:szCs w:val="24"/>
          <w:lang w:eastAsia="en-US"/>
        </w:rPr>
        <w:t xml:space="preserve"> O Anexo de Riscos Fiscais, § 3º do art. 4º da LRF, obedece às determinações do MANUAL DE DEMONSTRATIVOS FISCAIS DA PORTARIA STN nº </w:t>
      </w:r>
      <w:bookmarkStart w:id="1" w:name="_Hlk138345432"/>
      <w:r>
        <w:rPr>
          <w:rFonts w:eastAsia="Calibri" w:cs="Arial" w:ascii="Arial" w:hAnsi="Arial"/>
          <w:sz w:val="24"/>
          <w:szCs w:val="24"/>
          <w:lang w:eastAsia="en-US"/>
        </w:rPr>
        <w:t>699, de 07 de julho de 2023, 14ª Edição do Manual de Elaboração.</w:t>
      </w:r>
      <w:bookmarkEnd w:id="1"/>
    </w:p>
    <w:p>
      <w:pPr>
        <w:pStyle w:val="Normal"/>
        <w:tabs>
          <w:tab w:val="clear" w:pos="708"/>
          <w:tab w:val="left" w:pos="288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288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 xml:space="preserve">                                               </w:t>
      </w:r>
      <w:r>
        <w:rPr>
          <w:rFonts w:eastAsia="Calibri" w:cs="Arial" w:ascii="Arial" w:hAnsi="Arial"/>
          <w:b/>
          <w:sz w:val="24"/>
          <w:szCs w:val="24"/>
          <w:lang w:eastAsia="en-US"/>
        </w:rPr>
        <w:t>Art. 5º -</w:t>
      </w:r>
      <w:r>
        <w:rPr>
          <w:rFonts w:eastAsia="Calibri" w:cs="Arial" w:ascii="Arial" w:hAnsi="Arial"/>
          <w:sz w:val="24"/>
          <w:szCs w:val="24"/>
          <w:lang w:eastAsia="en-US"/>
        </w:rPr>
        <w:t xml:space="preserve"> Os Anexos de Riscos Fiscais e Metas Fiscais desta Lei constituem-se dos seguintes:</w:t>
      </w:r>
    </w:p>
    <w:p>
      <w:pPr>
        <w:pStyle w:val="Normal"/>
        <w:tabs>
          <w:tab w:val="clear" w:pos="708"/>
          <w:tab w:val="left" w:pos="288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540" w:leader="none"/>
          <w:tab w:val="left" w:pos="1980" w:leader="none"/>
          <w:tab w:val="left" w:pos="216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 xml:space="preserve">I </w:t>
      </w:r>
      <w:r>
        <w:rPr>
          <w:rFonts w:eastAsia="Calibri" w:cs="Arial" w:ascii="Arial" w:hAnsi="Arial"/>
          <w:sz w:val="24"/>
          <w:szCs w:val="24"/>
          <w:lang w:eastAsia="en-US"/>
        </w:rPr>
        <w:t>- ANEXO DE RISCOS FISCAIS.</w:t>
      </w:r>
    </w:p>
    <w:p>
      <w:pPr>
        <w:pStyle w:val="Normal"/>
        <w:tabs>
          <w:tab w:val="clear" w:pos="708"/>
          <w:tab w:val="left" w:pos="0" w:leader="none"/>
          <w:tab w:val="left" w:pos="540" w:leader="none"/>
          <w:tab w:val="left" w:pos="1980" w:leader="none"/>
          <w:tab w:val="left" w:pos="216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540" w:leader="none"/>
          <w:tab w:val="left" w:pos="1980" w:leader="none"/>
          <w:tab w:val="left" w:pos="216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II -</w:t>
      </w:r>
      <w:r>
        <w:rPr>
          <w:rFonts w:eastAsia="Calibri" w:cs="Arial" w:ascii="Arial" w:hAnsi="Arial"/>
          <w:sz w:val="24"/>
          <w:szCs w:val="24"/>
          <w:lang w:eastAsia="en-US"/>
        </w:rPr>
        <w:t xml:space="preserve"> METAS ANUAIS.</w:t>
      </w:r>
    </w:p>
    <w:p>
      <w:pPr>
        <w:pStyle w:val="Normal"/>
        <w:tabs>
          <w:tab w:val="clear" w:pos="708"/>
          <w:tab w:val="left" w:pos="0" w:leader="none"/>
          <w:tab w:val="left" w:pos="540" w:leader="none"/>
          <w:tab w:val="left" w:pos="1980" w:leader="none"/>
          <w:tab w:val="left" w:pos="216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540" w:leader="none"/>
          <w:tab w:val="left" w:pos="1980" w:leader="none"/>
          <w:tab w:val="left" w:pos="216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II -</w:t>
      </w:r>
      <w:r>
        <w:rPr>
          <w:rFonts w:eastAsia="Calibri" w:cs="Arial" w:ascii="Arial" w:hAnsi="Arial"/>
          <w:sz w:val="24"/>
          <w:szCs w:val="24"/>
          <w:lang w:eastAsia="en-US"/>
        </w:rPr>
        <w:t xml:space="preserve"> AVALIAÇÃO DO CUMPRIMENTO DAS METAS FISCAIS DO EXERCÍCIO ANTERIOR.</w:t>
      </w:r>
    </w:p>
    <w:p>
      <w:pPr>
        <w:pStyle w:val="Normal"/>
        <w:tabs>
          <w:tab w:val="clear" w:pos="708"/>
          <w:tab w:val="left" w:pos="0" w:leader="none"/>
          <w:tab w:val="left" w:pos="540" w:leader="none"/>
          <w:tab w:val="left" w:pos="1980" w:leader="none"/>
          <w:tab w:val="left" w:pos="216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540" w:leader="none"/>
          <w:tab w:val="left" w:pos="1980" w:leader="none"/>
          <w:tab w:val="left" w:pos="216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IV -</w:t>
      </w:r>
      <w:r>
        <w:rPr>
          <w:rFonts w:eastAsia="Calibri" w:cs="Arial" w:ascii="Arial" w:hAnsi="Arial"/>
          <w:sz w:val="24"/>
          <w:szCs w:val="24"/>
          <w:lang w:eastAsia="en-US"/>
        </w:rPr>
        <w:t xml:space="preserve"> METAS FISCAIS ATUAIS COMPARADAS COM AS FIXADAS NOS TRÊS EXERCÍCIOS ANTERIORES.</w:t>
      </w:r>
    </w:p>
    <w:p>
      <w:pPr>
        <w:pStyle w:val="Normal"/>
        <w:tabs>
          <w:tab w:val="clear" w:pos="708"/>
          <w:tab w:val="left" w:pos="0" w:leader="none"/>
          <w:tab w:val="left" w:pos="540" w:leader="none"/>
          <w:tab w:val="left" w:pos="1980" w:leader="none"/>
          <w:tab w:val="left" w:pos="216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540" w:leader="none"/>
          <w:tab w:val="left" w:pos="1980" w:leader="none"/>
          <w:tab w:val="left" w:pos="216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V -</w:t>
      </w:r>
      <w:r>
        <w:rPr>
          <w:rFonts w:eastAsia="Calibri" w:cs="Arial" w:ascii="Arial" w:hAnsi="Arial"/>
          <w:sz w:val="24"/>
          <w:szCs w:val="24"/>
          <w:lang w:eastAsia="en-US"/>
        </w:rPr>
        <w:t xml:space="preserve"> EVOLUÇÃO DO PATRIMÔNIO LÍQUIDO.</w:t>
      </w:r>
    </w:p>
    <w:p>
      <w:pPr>
        <w:pStyle w:val="Normal"/>
        <w:tabs>
          <w:tab w:val="clear" w:pos="708"/>
          <w:tab w:val="left" w:pos="0" w:leader="none"/>
          <w:tab w:val="left" w:pos="540" w:leader="none"/>
          <w:tab w:val="left" w:pos="1980" w:leader="none"/>
          <w:tab w:val="left" w:pos="216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540" w:leader="none"/>
          <w:tab w:val="left" w:pos="1980" w:leader="none"/>
          <w:tab w:val="left" w:pos="216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VI -</w:t>
      </w:r>
      <w:r>
        <w:rPr>
          <w:rFonts w:eastAsia="Calibri" w:cs="Arial" w:ascii="Arial" w:hAnsi="Arial"/>
          <w:sz w:val="24"/>
          <w:szCs w:val="24"/>
          <w:lang w:eastAsia="en-US"/>
        </w:rPr>
        <w:t xml:space="preserve"> ORIGEM E APLICAÇÃO DOS RECURSOS OBTIDOS COM A ALIENAÇÃO DE ATIVOS.</w:t>
      </w:r>
    </w:p>
    <w:p>
      <w:pPr>
        <w:pStyle w:val="Normal"/>
        <w:tabs>
          <w:tab w:val="clear" w:pos="708"/>
          <w:tab w:val="left" w:pos="0" w:leader="none"/>
          <w:tab w:val="left" w:pos="540" w:leader="none"/>
          <w:tab w:val="left" w:pos="1980" w:leader="none"/>
          <w:tab w:val="left" w:pos="216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540" w:leader="none"/>
          <w:tab w:val="left" w:pos="1980" w:leader="none"/>
          <w:tab w:val="left" w:pos="216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VII -</w:t>
      </w:r>
      <w:r>
        <w:rPr>
          <w:rFonts w:eastAsia="Calibri" w:cs="Arial" w:ascii="Arial" w:hAnsi="Arial"/>
          <w:sz w:val="24"/>
          <w:szCs w:val="24"/>
          <w:lang w:eastAsia="en-US"/>
        </w:rPr>
        <w:t xml:space="preserve"> AVALIAÇÃO DA SITUAÇÃO FINANCEIRA E ATUARIAL DO REGIME PRÓPRIO DE PREVIDÊNCIA DOS SERVIDORES.</w:t>
      </w:r>
    </w:p>
    <w:p>
      <w:pPr>
        <w:pStyle w:val="Normal"/>
        <w:tabs>
          <w:tab w:val="clear" w:pos="708"/>
          <w:tab w:val="left" w:pos="0" w:leader="none"/>
          <w:tab w:val="left" w:pos="540" w:leader="none"/>
          <w:tab w:val="left" w:pos="1980" w:leader="none"/>
          <w:tab w:val="left" w:pos="216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540" w:leader="none"/>
          <w:tab w:val="left" w:pos="1980" w:leader="none"/>
          <w:tab w:val="left" w:pos="216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VIII -</w:t>
      </w:r>
      <w:r>
        <w:rPr>
          <w:rFonts w:eastAsia="Calibri" w:cs="Arial" w:ascii="Arial" w:hAnsi="Arial"/>
          <w:sz w:val="24"/>
          <w:szCs w:val="24"/>
          <w:lang w:eastAsia="en-US"/>
        </w:rPr>
        <w:t xml:space="preserve"> ESTIMATIVA E COMPENSAÇÃO DA RENÚNCIA DE RECEITA.</w:t>
      </w:r>
    </w:p>
    <w:p>
      <w:pPr>
        <w:pStyle w:val="Normal"/>
        <w:tabs>
          <w:tab w:val="clear" w:pos="708"/>
          <w:tab w:val="left" w:pos="0" w:leader="none"/>
          <w:tab w:val="left" w:pos="540" w:leader="none"/>
          <w:tab w:val="left" w:pos="1980" w:leader="none"/>
          <w:tab w:val="left" w:pos="216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540" w:leader="none"/>
          <w:tab w:val="left" w:pos="1980" w:leader="none"/>
          <w:tab w:val="left" w:pos="216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IX -</w:t>
      </w:r>
      <w:r>
        <w:rPr>
          <w:rFonts w:eastAsia="Calibri" w:cs="Arial" w:ascii="Arial" w:hAnsi="Arial"/>
          <w:sz w:val="24"/>
          <w:szCs w:val="24"/>
          <w:lang w:eastAsia="en-US"/>
        </w:rPr>
        <w:t xml:space="preserve"> MARGEM DE EXPANSÃO DAS DESPESAS OBRIGATÓRIAS DE CARÁTER CONTINUADO.</w:t>
      </w:r>
    </w:p>
    <w:p>
      <w:pPr>
        <w:pStyle w:val="Normal"/>
        <w:tabs>
          <w:tab w:val="clear" w:pos="708"/>
          <w:tab w:val="left" w:pos="0" w:leader="none"/>
          <w:tab w:val="left" w:pos="540" w:leader="none"/>
          <w:tab w:val="left" w:pos="1980" w:leader="none"/>
          <w:tab w:val="left" w:pos="216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360" w:leader="none"/>
          <w:tab w:val="left" w:pos="1980" w:leader="none"/>
          <w:tab w:val="left" w:pos="2160" w:leader="none"/>
        </w:tabs>
        <w:ind w:left="510" w:hanging="0"/>
        <w:jc w:val="center"/>
        <w:rPr>
          <w:rFonts w:ascii="Arial" w:hAnsi="Arial" w:eastAsia="Calibri" w:cs="Arial"/>
          <w:b/>
          <w:sz w:val="24"/>
          <w:szCs w:val="24"/>
          <w:lang w:eastAsia="en-US"/>
        </w:rPr>
      </w:pPr>
      <w:r>
        <w:rPr>
          <w:rFonts w:eastAsia="Calibri" w:cs="Arial" w:ascii="Arial" w:hAnsi="Arial"/>
          <w:b/>
          <w:sz w:val="24"/>
          <w:szCs w:val="24"/>
          <w:lang w:eastAsia="en-US"/>
        </w:rPr>
        <w:t>SEÇÃO I</w:t>
      </w:r>
    </w:p>
    <w:p>
      <w:pPr>
        <w:pStyle w:val="Normal"/>
        <w:tabs>
          <w:tab w:val="clear" w:pos="708"/>
          <w:tab w:val="left" w:pos="0" w:leader="none"/>
          <w:tab w:val="left" w:pos="360" w:leader="none"/>
          <w:tab w:val="left" w:pos="1980" w:leader="none"/>
          <w:tab w:val="left" w:pos="2160" w:leader="none"/>
        </w:tabs>
        <w:ind w:left="510" w:hanging="0"/>
        <w:jc w:val="center"/>
        <w:rPr>
          <w:rFonts w:ascii="Arial" w:hAnsi="Arial" w:eastAsia="Calibri" w:cs="Arial"/>
          <w:b/>
          <w:sz w:val="24"/>
          <w:szCs w:val="24"/>
          <w:lang w:eastAsia="en-US"/>
        </w:rPr>
      </w:pPr>
      <w:r>
        <w:rPr>
          <w:rFonts w:eastAsia="Calibri" w:cs="Arial" w:ascii="Arial" w:hAnsi="Arial"/>
          <w:b/>
          <w:bCs/>
          <w:sz w:val="24"/>
          <w:szCs w:val="24"/>
          <w:lang w:eastAsia="en-US"/>
        </w:rPr>
        <w:t>RISCOS FISCAIS E PROVIDÊNCIAS</w:t>
      </w:r>
    </w:p>
    <w:p>
      <w:pPr>
        <w:pStyle w:val="Normal"/>
        <w:tabs>
          <w:tab w:val="clear" w:pos="708"/>
          <w:tab w:val="left" w:pos="0" w:leader="none"/>
          <w:tab w:val="left" w:pos="2880" w:leader="none"/>
        </w:tabs>
        <w:ind w:left="510" w:hanging="0"/>
        <w:jc w:val="both"/>
        <w:rPr>
          <w:rFonts w:ascii="Arial" w:hAnsi="Arial" w:eastAsia="Calibri" w:cs="Arial"/>
          <w:b/>
          <w:bCs/>
          <w:sz w:val="24"/>
          <w:szCs w:val="24"/>
          <w:lang w:eastAsia="en-US"/>
        </w:rPr>
      </w:pPr>
      <w:r>
        <w:rPr>
          <w:rFonts w:eastAsia="Calibri" w:cs="Arial" w:ascii="Arial" w:hAnsi="Arial"/>
          <w:b/>
          <w:bCs/>
          <w:sz w:val="24"/>
          <w:szCs w:val="24"/>
          <w:lang w:eastAsia="en-US"/>
        </w:rPr>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 xml:space="preserve">Art. 6º </w:t>
      </w:r>
      <w:r>
        <w:rPr>
          <w:rFonts w:eastAsia="Calibri" w:cs="Arial" w:ascii="Arial" w:hAnsi="Arial"/>
          <w:b/>
          <w:bCs/>
          <w:sz w:val="24"/>
          <w:szCs w:val="24"/>
          <w:lang w:eastAsia="en-US"/>
        </w:rPr>
        <w:t>-</w:t>
      </w:r>
      <w:r>
        <w:rPr>
          <w:rFonts w:eastAsia="Calibri" w:cs="Arial" w:ascii="Arial" w:hAnsi="Arial"/>
          <w:sz w:val="24"/>
          <w:szCs w:val="24"/>
          <w:lang w:eastAsia="en-US"/>
        </w:rPr>
        <w:t xml:space="preserve">Em cumprimento ao § 3º do Art. 4º da LRF a Lei de Diretrizes Orçamentárias </w:t>
      </w:r>
      <w:r>
        <w:rPr>
          <w:rFonts w:eastAsia="Calibri" w:cs="Arial" w:ascii="Arial" w:hAnsi="Arial"/>
          <w:b/>
          <w:sz w:val="24"/>
          <w:szCs w:val="24"/>
          <w:lang w:eastAsia="en-US"/>
        </w:rPr>
        <w:t>- LDO 2025,</w:t>
      </w:r>
      <w:r>
        <w:rPr>
          <w:rFonts w:eastAsia="Calibri" w:cs="Arial" w:ascii="Arial" w:hAnsi="Arial"/>
          <w:sz w:val="24"/>
          <w:szCs w:val="24"/>
          <w:lang w:eastAsia="en-US"/>
        </w:rPr>
        <w:t xml:space="preserve"> contém o Anexo de Riscos Fiscais e Providências.</w:t>
      </w:r>
    </w:p>
    <w:p>
      <w:pPr>
        <w:pStyle w:val="Normal"/>
        <w:keepNext w:val="true"/>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360" w:leader="none"/>
          <w:tab w:val="left" w:pos="1980" w:leader="none"/>
          <w:tab w:val="left" w:pos="2160" w:leader="none"/>
        </w:tabs>
        <w:ind w:left="510" w:hanging="0"/>
        <w:jc w:val="center"/>
        <w:rPr>
          <w:rFonts w:ascii="Arial" w:hAnsi="Arial" w:eastAsia="Calibri" w:cs="Arial"/>
          <w:b/>
          <w:sz w:val="24"/>
          <w:szCs w:val="24"/>
          <w:lang w:eastAsia="en-US"/>
        </w:rPr>
      </w:pPr>
      <w:r>
        <w:rPr>
          <w:rFonts w:eastAsia="Calibri" w:cs="Arial" w:ascii="Arial" w:hAnsi="Arial"/>
          <w:b/>
          <w:sz w:val="24"/>
          <w:szCs w:val="24"/>
          <w:lang w:eastAsia="en-US"/>
        </w:rPr>
        <w:t>SEÇÃO II</w:t>
      </w:r>
    </w:p>
    <w:p>
      <w:pPr>
        <w:pStyle w:val="Normal"/>
        <w:tabs>
          <w:tab w:val="clear" w:pos="708"/>
          <w:tab w:val="left" w:pos="0" w:leader="none"/>
          <w:tab w:val="left" w:pos="360" w:leader="none"/>
          <w:tab w:val="left" w:pos="1980" w:leader="none"/>
          <w:tab w:val="left" w:pos="2160" w:leader="none"/>
        </w:tabs>
        <w:ind w:left="510" w:hanging="0"/>
        <w:jc w:val="center"/>
        <w:rPr>
          <w:rFonts w:ascii="Arial" w:hAnsi="Arial" w:eastAsia="Calibri" w:cs="Arial"/>
          <w:b/>
          <w:sz w:val="24"/>
          <w:szCs w:val="24"/>
          <w:lang w:eastAsia="en-US"/>
        </w:rPr>
      </w:pPr>
      <w:r>
        <w:rPr>
          <w:rFonts w:eastAsia="Calibri" w:cs="Arial" w:ascii="Arial" w:hAnsi="Arial"/>
          <w:b/>
          <w:bCs/>
          <w:sz w:val="24"/>
          <w:szCs w:val="24"/>
          <w:lang w:eastAsia="en-US"/>
        </w:rPr>
        <w:t>METAS ANUAIS</w:t>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Art. 7º -</w:t>
      </w:r>
      <w:r>
        <w:rPr>
          <w:rFonts w:eastAsia="Calibri" w:cs="Arial" w:ascii="Arial" w:hAnsi="Arial"/>
          <w:sz w:val="24"/>
          <w:szCs w:val="24"/>
          <w:lang w:eastAsia="en-US"/>
        </w:rPr>
        <w:t xml:space="preserve"> Em cumprimento ao § 1º, do art. 4º, da Lei de Complementar nº 101/2000, o Demonstrativo 1- Metas Anuais, foi elaborado em valores Correntes e Constantes, relativos à Receitas, Despesas, Resultado Primário e Nominal e Montante da Dívida Pública, para o exercício de referência 2025 e para os dois seguintes.</w:t>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288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 Único -</w:t>
      </w:r>
      <w:r>
        <w:rPr>
          <w:rFonts w:eastAsia="Calibri" w:cs="Arial" w:ascii="Arial" w:hAnsi="Arial"/>
          <w:sz w:val="24"/>
          <w:szCs w:val="24"/>
          <w:lang w:eastAsia="en-US"/>
        </w:rPr>
        <w:t xml:space="preserve"> Os valores constantes, utilizam os parâmetros dos Índices Oficiais de Inflação de acordo com a Portaria STN nº 699, de 07 de julho de 2023, e a previsão do PIB do Estado do Rio de Janeiro.</w:t>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360" w:leader="none"/>
          <w:tab w:val="left" w:pos="1980" w:leader="none"/>
          <w:tab w:val="left" w:pos="2160" w:leader="none"/>
        </w:tabs>
        <w:ind w:left="510" w:hanging="0"/>
        <w:jc w:val="center"/>
        <w:rPr>
          <w:rFonts w:ascii="Arial" w:hAnsi="Arial" w:eastAsia="Calibri" w:cs="Arial"/>
          <w:b/>
          <w:sz w:val="24"/>
          <w:szCs w:val="24"/>
          <w:lang w:eastAsia="en-US"/>
        </w:rPr>
      </w:pPr>
      <w:r>
        <w:rPr>
          <w:rFonts w:eastAsia="Calibri" w:cs="Arial" w:ascii="Arial" w:hAnsi="Arial"/>
          <w:b/>
          <w:sz w:val="24"/>
          <w:szCs w:val="24"/>
          <w:lang w:eastAsia="en-US"/>
        </w:rPr>
        <w:t>SEÇÃO III</w:t>
      </w:r>
    </w:p>
    <w:p>
      <w:pPr>
        <w:pStyle w:val="Normal"/>
        <w:tabs>
          <w:tab w:val="clear" w:pos="708"/>
          <w:tab w:val="left" w:pos="0" w:leader="none"/>
          <w:tab w:val="left" w:pos="2880" w:leader="none"/>
        </w:tabs>
        <w:ind w:left="510" w:hanging="0"/>
        <w:jc w:val="center"/>
        <w:rPr>
          <w:rFonts w:ascii="Arial" w:hAnsi="Arial" w:eastAsia="Calibri" w:cs="Arial"/>
          <w:b/>
          <w:bCs/>
          <w:sz w:val="24"/>
          <w:szCs w:val="24"/>
          <w:lang w:eastAsia="en-US"/>
        </w:rPr>
      </w:pPr>
      <w:r>
        <w:rPr>
          <w:rFonts w:eastAsia="Calibri" w:cs="Arial" w:ascii="Arial" w:hAnsi="Arial"/>
          <w:b/>
          <w:bCs/>
          <w:sz w:val="24"/>
          <w:szCs w:val="24"/>
          <w:lang w:eastAsia="en-US"/>
        </w:rPr>
        <w:t>AVALIAÇÃO DO CUMPRIMENTO DAS METAS FISCAIS DO EXERCÍCIO ANTERIOR</w:t>
      </w:r>
    </w:p>
    <w:p>
      <w:pPr>
        <w:pStyle w:val="Normal"/>
        <w:tabs>
          <w:tab w:val="clear" w:pos="708"/>
          <w:tab w:val="left" w:pos="0" w:leader="none"/>
          <w:tab w:val="left" w:pos="360" w:leader="none"/>
          <w:tab w:val="left" w:pos="1980" w:leader="none"/>
          <w:tab w:val="left" w:pos="2160" w:leader="none"/>
          <w:tab w:val="left" w:pos="342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Art. 8º -</w:t>
      </w:r>
      <w:r>
        <w:rPr>
          <w:rFonts w:eastAsia="Calibri" w:cs="Arial" w:ascii="Arial" w:hAnsi="Arial"/>
          <w:sz w:val="24"/>
          <w:szCs w:val="24"/>
          <w:lang w:eastAsia="en-US"/>
        </w:rPr>
        <w:t xml:space="preserve"> Atendendo ao disposto no § 2º, inciso I, do Art. 4º da LRF, o Demonstrativo 2 - Avaliação do Cumprimento das Metas Fiscais do Exercício Anterior, tem como finalidade estabelecer um comparativo entre as metas fixadas e o resultado obtido no exercício orçamentário anterior, de Receitas, Despesas, Resultado Primário e Nominal, Dívida Pública Consolidada e Dívida Consolidada Líquida. </w:t>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360" w:leader="none"/>
          <w:tab w:val="left" w:pos="1980" w:leader="none"/>
          <w:tab w:val="left" w:pos="2160" w:leader="none"/>
        </w:tabs>
        <w:ind w:left="510" w:hanging="0"/>
        <w:jc w:val="center"/>
        <w:rPr>
          <w:rFonts w:ascii="Arial" w:hAnsi="Arial" w:eastAsia="Calibri" w:cs="Arial"/>
          <w:sz w:val="24"/>
          <w:szCs w:val="24"/>
          <w:lang w:eastAsia="en-US"/>
        </w:rPr>
      </w:pPr>
      <w:r>
        <w:rPr>
          <w:rFonts w:eastAsia="Calibri" w:cs="Arial" w:ascii="Arial" w:hAnsi="Arial"/>
          <w:b/>
          <w:sz w:val="24"/>
          <w:szCs w:val="24"/>
          <w:lang w:eastAsia="en-US"/>
        </w:rPr>
        <w:t>SEÇÃO IV</w:t>
      </w:r>
    </w:p>
    <w:p>
      <w:pPr>
        <w:pStyle w:val="Normal"/>
        <w:tabs>
          <w:tab w:val="clear" w:pos="708"/>
          <w:tab w:val="left" w:pos="0" w:leader="none"/>
          <w:tab w:val="left" w:pos="2880" w:leader="none"/>
        </w:tabs>
        <w:ind w:left="510" w:hanging="0"/>
        <w:jc w:val="center"/>
        <w:rPr>
          <w:rFonts w:ascii="Arial" w:hAnsi="Arial" w:eastAsia="Calibri" w:cs="Arial"/>
          <w:b/>
          <w:bCs/>
          <w:sz w:val="24"/>
          <w:szCs w:val="24"/>
          <w:lang w:eastAsia="en-US"/>
        </w:rPr>
      </w:pPr>
      <w:r>
        <w:rPr>
          <w:rFonts w:eastAsia="Calibri" w:cs="Arial" w:ascii="Arial" w:hAnsi="Arial"/>
          <w:b/>
          <w:bCs/>
          <w:sz w:val="24"/>
          <w:szCs w:val="24"/>
          <w:lang w:eastAsia="en-US"/>
        </w:rPr>
        <w:t>METAS FISCAIS ATUAIS COMPARADAS COM AS FIXADAS NOS TRÊS EXERCÍCIOS ANTERIORES</w:t>
      </w:r>
    </w:p>
    <w:p>
      <w:pPr>
        <w:pStyle w:val="Normal"/>
        <w:tabs>
          <w:tab w:val="clear" w:pos="708"/>
          <w:tab w:val="left" w:pos="0" w:leader="none"/>
          <w:tab w:val="left" w:pos="360" w:leader="none"/>
          <w:tab w:val="left" w:pos="1980" w:leader="none"/>
          <w:tab w:val="left" w:pos="2160" w:leader="none"/>
          <w:tab w:val="left" w:pos="342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Art.9º -</w:t>
      </w:r>
      <w:r>
        <w:rPr>
          <w:rFonts w:eastAsia="Calibri" w:cs="Arial" w:ascii="Arial" w:hAnsi="Arial"/>
          <w:sz w:val="24"/>
          <w:szCs w:val="24"/>
          <w:lang w:eastAsia="en-US"/>
        </w:rPr>
        <w:t xml:space="preserve"> De acordo com o § 2º, item II, do Art. 4º da LRF, o presente projeto de lei contém o Demonstrativo 3 - Metas Fiscais Atuais Comparadas com as Fixadas nos Três Exercícios Anteriores, de Receitas, Despesas, Resultado Primário e Nominal, Dívida Pública Consolidada e Dívida Consolidada Líquida. </w:t>
      </w:r>
    </w:p>
    <w:p>
      <w:pPr>
        <w:pStyle w:val="Normal"/>
        <w:tabs>
          <w:tab w:val="clear" w:pos="708"/>
          <w:tab w:val="left" w:pos="0" w:leader="none"/>
          <w:tab w:val="left" w:pos="360" w:leader="none"/>
          <w:tab w:val="left" w:pos="1980" w:leader="none"/>
          <w:tab w:val="left" w:pos="2160" w:leader="none"/>
        </w:tabs>
        <w:ind w:left="510" w:hanging="0"/>
        <w:jc w:val="center"/>
        <w:rPr>
          <w:rFonts w:ascii="Arial" w:hAnsi="Arial" w:eastAsia="Calibri" w:cs="Arial"/>
          <w:b/>
          <w:sz w:val="24"/>
          <w:szCs w:val="24"/>
          <w:lang w:eastAsia="en-US"/>
        </w:rPr>
      </w:pPr>
      <w:r>
        <w:rPr>
          <w:rFonts w:eastAsia="Calibri" w:cs="Arial" w:ascii="Arial" w:hAnsi="Arial"/>
          <w:b/>
          <w:sz w:val="24"/>
          <w:szCs w:val="24"/>
          <w:lang w:eastAsia="en-US"/>
        </w:rPr>
      </w:r>
    </w:p>
    <w:p>
      <w:pPr>
        <w:pStyle w:val="Normal"/>
        <w:tabs>
          <w:tab w:val="clear" w:pos="708"/>
          <w:tab w:val="left" w:pos="0" w:leader="none"/>
          <w:tab w:val="left" w:pos="360" w:leader="none"/>
          <w:tab w:val="left" w:pos="1980" w:leader="none"/>
          <w:tab w:val="left" w:pos="2160" w:leader="none"/>
        </w:tabs>
        <w:ind w:left="510" w:hanging="0"/>
        <w:jc w:val="center"/>
        <w:rPr>
          <w:rFonts w:ascii="Arial" w:hAnsi="Arial" w:eastAsia="Calibri" w:cs="Arial"/>
          <w:b/>
          <w:sz w:val="24"/>
          <w:szCs w:val="24"/>
          <w:lang w:eastAsia="en-US"/>
        </w:rPr>
      </w:pPr>
      <w:r>
        <w:rPr>
          <w:rFonts w:eastAsia="Calibri" w:cs="Arial" w:ascii="Arial" w:hAnsi="Arial"/>
          <w:b/>
          <w:sz w:val="24"/>
          <w:szCs w:val="24"/>
          <w:lang w:eastAsia="en-US"/>
        </w:rPr>
      </w:r>
    </w:p>
    <w:p>
      <w:pPr>
        <w:pStyle w:val="Normal"/>
        <w:tabs>
          <w:tab w:val="clear" w:pos="708"/>
          <w:tab w:val="left" w:pos="0" w:leader="none"/>
          <w:tab w:val="left" w:pos="360" w:leader="none"/>
          <w:tab w:val="left" w:pos="1980" w:leader="none"/>
          <w:tab w:val="left" w:pos="2160" w:leader="none"/>
        </w:tabs>
        <w:ind w:left="510" w:hanging="0"/>
        <w:jc w:val="center"/>
        <w:rPr>
          <w:rFonts w:ascii="Arial" w:hAnsi="Arial" w:eastAsia="Calibri" w:cs="Arial"/>
          <w:sz w:val="24"/>
          <w:szCs w:val="24"/>
          <w:lang w:eastAsia="en-US"/>
        </w:rPr>
      </w:pPr>
      <w:r>
        <w:rPr>
          <w:rFonts w:eastAsia="Calibri" w:cs="Arial" w:ascii="Arial" w:hAnsi="Arial"/>
          <w:b/>
          <w:sz w:val="24"/>
          <w:szCs w:val="24"/>
          <w:lang w:eastAsia="en-US"/>
        </w:rPr>
        <w:t>SEÇÃO V</w:t>
      </w:r>
    </w:p>
    <w:p>
      <w:pPr>
        <w:pStyle w:val="Normal"/>
        <w:tabs>
          <w:tab w:val="clear" w:pos="708"/>
          <w:tab w:val="left" w:pos="0" w:leader="none"/>
          <w:tab w:val="left" w:pos="2880" w:leader="none"/>
        </w:tabs>
        <w:ind w:left="510" w:hanging="0"/>
        <w:jc w:val="center"/>
        <w:rPr>
          <w:rFonts w:ascii="Arial" w:hAnsi="Arial" w:eastAsia="Calibri" w:cs="Arial"/>
          <w:b/>
          <w:bCs/>
          <w:sz w:val="24"/>
          <w:szCs w:val="24"/>
          <w:lang w:eastAsia="en-US"/>
        </w:rPr>
      </w:pPr>
      <w:r>
        <w:rPr>
          <w:rFonts w:eastAsia="Calibri" w:cs="Arial" w:ascii="Arial" w:hAnsi="Arial"/>
          <w:b/>
          <w:bCs/>
          <w:sz w:val="24"/>
          <w:szCs w:val="24"/>
          <w:lang w:eastAsia="en-US"/>
        </w:rPr>
        <w:t>EVOLUÇÃO DO PATRIMÔNIO LÍQUIDO</w:t>
      </w:r>
    </w:p>
    <w:p>
      <w:pPr>
        <w:pStyle w:val="Normal"/>
        <w:tabs>
          <w:tab w:val="clear" w:pos="708"/>
          <w:tab w:val="left" w:pos="0" w:leader="none"/>
          <w:tab w:val="left" w:pos="360" w:leader="none"/>
          <w:tab w:val="left" w:pos="1980" w:leader="none"/>
          <w:tab w:val="left" w:pos="2160" w:leader="none"/>
          <w:tab w:val="left" w:pos="342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Art. 10º -</w:t>
      </w:r>
      <w:r>
        <w:rPr>
          <w:rFonts w:eastAsia="Calibri" w:cs="Arial" w:ascii="Arial" w:hAnsi="Arial"/>
          <w:sz w:val="24"/>
          <w:szCs w:val="24"/>
          <w:lang w:eastAsia="en-US"/>
        </w:rPr>
        <w:t xml:space="preserve"> Em obediência ao § 2º, inciso III, do Art. 4º da LRF, o Demonstrativo 4 - Evolução do Patrimônio Líquido, traduz as variações do Patrimônio consolidado do Município, separadamente da situação do Patrimônio Líquido do Instituto de Previdência dos Servidores Públicos de Pirai.</w:t>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360" w:leader="none"/>
          <w:tab w:val="left" w:pos="1980" w:leader="none"/>
          <w:tab w:val="left" w:pos="2160" w:leader="none"/>
        </w:tabs>
        <w:ind w:left="510" w:hanging="0"/>
        <w:jc w:val="center"/>
        <w:rPr>
          <w:rFonts w:ascii="Arial" w:hAnsi="Arial" w:eastAsia="Calibri" w:cs="Arial"/>
          <w:sz w:val="24"/>
          <w:szCs w:val="24"/>
          <w:lang w:eastAsia="en-US"/>
        </w:rPr>
      </w:pPr>
      <w:r>
        <w:rPr>
          <w:rFonts w:eastAsia="Calibri" w:cs="Arial" w:ascii="Arial" w:hAnsi="Arial"/>
          <w:b/>
          <w:sz w:val="24"/>
          <w:szCs w:val="24"/>
          <w:lang w:eastAsia="en-US"/>
        </w:rPr>
        <w:t>SEÇÃO VI</w:t>
      </w:r>
    </w:p>
    <w:p>
      <w:pPr>
        <w:pStyle w:val="Normal"/>
        <w:tabs>
          <w:tab w:val="clear" w:pos="708"/>
          <w:tab w:val="left" w:pos="0" w:leader="none"/>
          <w:tab w:val="left" w:pos="2880" w:leader="none"/>
        </w:tabs>
        <w:ind w:left="510" w:hanging="0"/>
        <w:jc w:val="center"/>
        <w:rPr>
          <w:rFonts w:ascii="Arial" w:hAnsi="Arial" w:eastAsia="Calibri" w:cs="Arial"/>
          <w:b/>
          <w:bCs/>
          <w:sz w:val="24"/>
          <w:szCs w:val="24"/>
          <w:lang w:eastAsia="en-US"/>
        </w:rPr>
      </w:pPr>
      <w:r>
        <w:rPr>
          <w:rFonts w:eastAsia="Calibri" w:cs="Arial" w:ascii="Arial" w:hAnsi="Arial"/>
          <w:b/>
          <w:bCs/>
          <w:sz w:val="24"/>
          <w:szCs w:val="24"/>
          <w:lang w:eastAsia="en-US"/>
        </w:rPr>
        <w:t>ORIGEM E APLICAÇÃO DOS RECURSOS OBTIDOS COM A ALIENAÇÃO DE ATIVOS</w:t>
      </w:r>
    </w:p>
    <w:p>
      <w:pPr>
        <w:pStyle w:val="Normal"/>
        <w:tabs>
          <w:tab w:val="clear" w:pos="708"/>
          <w:tab w:val="left" w:pos="0" w:leader="none"/>
          <w:tab w:val="left" w:pos="360" w:leader="none"/>
          <w:tab w:val="left" w:pos="1980" w:leader="none"/>
          <w:tab w:val="left" w:pos="2160" w:leader="none"/>
          <w:tab w:val="left" w:pos="342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Art. 11º -</w:t>
      </w:r>
      <w:r>
        <w:rPr>
          <w:rFonts w:eastAsia="Calibri" w:cs="Arial" w:ascii="Arial" w:hAnsi="Arial"/>
          <w:sz w:val="24"/>
          <w:szCs w:val="24"/>
          <w:lang w:eastAsia="en-US"/>
        </w:rPr>
        <w:t xml:space="preserve"> O § 2º, inciso III, do Art. 4º da LRF, que trata da Evolução do Patrimônio Líquido, estabelece também, que os recursos obtidos com a alienação de ativos que integram o referido patrimônio, devem ser reaplicados em despesas de capital, salvo se destinada por lei aos regimes de previdência social, geral ou próprio dos servidores públicos. O Demonstrativo 5 - Origem e Aplicação dos Recursos Obtidos com a Alienação de Ativos estabelece de onde foram obtidos os recursos e onde foram aplicados.</w:t>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360" w:leader="none"/>
          <w:tab w:val="left" w:pos="1980" w:leader="none"/>
          <w:tab w:val="left" w:pos="2160" w:leader="none"/>
        </w:tabs>
        <w:ind w:left="510" w:hanging="0"/>
        <w:jc w:val="center"/>
        <w:rPr>
          <w:rFonts w:ascii="Arial" w:hAnsi="Arial" w:eastAsia="Calibri" w:cs="Arial"/>
          <w:sz w:val="24"/>
          <w:szCs w:val="24"/>
          <w:lang w:eastAsia="en-US"/>
        </w:rPr>
      </w:pPr>
      <w:r>
        <w:rPr>
          <w:rFonts w:eastAsia="Calibri" w:cs="Arial" w:ascii="Arial" w:hAnsi="Arial"/>
          <w:b/>
          <w:sz w:val="24"/>
          <w:szCs w:val="24"/>
          <w:lang w:eastAsia="en-US"/>
        </w:rPr>
        <w:t>SEÇÃO VII</w:t>
      </w:r>
    </w:p>
    <w:p>
      <w:pPr>
        <w:pStyle w:val="Normal"/>
        <w:tabs>
          <w:tab w:val="clear" w:pos="708"/>
          <w:tab w:val="left" w:pos="0" w:leader="none"/>
          <w:tab w:val="left" w:pos="2880" w:leader="none"/>
        </w:tabs>
        <w:ind w:left="510" w:hanging="0"/>
        <w:jc w:val="center"/>
        <w:rPr>
          <w:rFonts w:ascii="Arial" w:hAnsi="Arial" w:eastAsia="Calibri" w:cs="Arial"/>
          <w:b/>
          <w:bCs/>
          <w:sz w:val="24"/>
          <w:szCs w:val="24"/>
          <w:lang w:eastAsia="en-US"/>
        </w:rPr>
      </w:pPr>
      <w:r>
        <w:rPr>
          <w:rFonts w:eastAsia="Calibri" w:cs="Arial" w:ascii="Arial" w:hAnsi="Arial"/>
          <w:b/>
          <w:bCs/>
          <w:sz w:val="24"/>
          <w:szCs w:val="24"/>
          <w:lang w:eastAsia="en-US"/>
        </w:rPr>
        <w:t>AVALIAÇÃO DA SITUAÇÃO FINANCEIRA E ATUARIAL DO REGIME PRÓPRIO DA PREVIDÊNCIA DOS SERVIDORES PÚBLICOS</w:t>
      </w:r>
    </w:p>
    <w:p>
      <w:pPr>
        <w:pStyle w:val="Normal"/>
        <w:tabs>
          <w:tab w:val="clear" w:pos="708"/>
          <w:tab w:val="left" w:pos="0" w:leader="none"/>
          <w:tab w:val="left" w:pos="360" w:leader="none"/>
          <w:tab w:val="left" w:pos="1980" w:leader="none"/>
          <w:tab w:val="left" w:pos="2160" w:leader="none"/>
          <w:tab w:val="left" w:pos="3420" w:leader="none"/>
        </w:tabs>
        <w:ind w:left="510" w:hanging="0"/>
        <w:jc w:val="center"/>
        <w:rPr>
          <w:rFonts w:ascii="Arial" w:hAnsi="Arial" w:eastAsia="Calibri" w:cs="Arial"/>
          <w:b/>
          <w:bCs/>
          <w:sz w:val="24"/>
          <w:szCs w:val="24"/>
          <w:lang w:eastAsia="en-US"/>
        </w:rPr>
      </w:pPr>
      <w:r>
        <w:rPr>
          <w:rFonts w:eastAsia="Calibri" w:cs="Arial" w:ascii="Arial" w:hAnsi="Arial"/>
          <w:b/>
          <w:bCs/>
          <w:sz w:val="24"/>
          <w:szCs w:val="24"/>
          <w:lang w:eastAsia="en-US"/>
        </w:rPr>
      </w:r>
    </w:p>
    <w:p>
      <w:pPr>
        <w:pStyle w:val="Normal"/>
        <w:tabs>
          <w:tab w:val="clear" w:pos="708"/>
          <w:tab w:val="left" w:pos="288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Art. 12</w:t>
      </w:r>
      <w:r>
        <w:rPr>
          <w:rFonts w:eastAsia="Calibri" w:cs="Arial" w:ascii="Arial" w:hAnsi="Arial"/>
          <w:sz w:val="24"/>
          <w:szCs w:val="24"/>
          <w:lang w:eastAsia="en-US"/>
        </w:rPr>
        <w:t xml:space="preserve"> - Em razão do que está estabelecido no § 2º, inciso IV, alínea "a", do Art. 4º, da LRF, o Anexo de Metas Fiscais integrante desta Lei, contém a avaliação da situação financeira e atuarial do regime próprio dos servidores municipais, nos três últimos exercícios. O Demonstrativo 6 - Avaliação da Situação Financeira e Atuarial do Regime Próprio de Previdência dos Servidores Públicos, seguindo o modelo da Portaria STN nº 699, de 07 de julho de 2023, estabelece um comparativo de Receitas e Despesas Previdenciárias, terminando por apurar o Resultado Previdenciário e a Disponibilidade Financeira do RPPS.</w:t>
      </w:r>
    </w:p>
    <w:p>
      <w:pPr>
        <w:pStyle w:val="Normal"/>
        <w:tabs>
          <w:tab w:val="clear" w:pos="708"/>
          <w:tab w:val="left" w:pos="288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2880" w:leader="none"/>
        </w:tabs>
        <w:ind w:left="510" w:hanging="0"/>
        <w:jc w:val="center"/>
        <w:rPr>
          <w:rFonts w:ascii="Arial" w:hAnsi="Arial" w:eastAsia="Calibri" w:cs="Arial"/>
          <w:sz w:val="24"/>
          <w:szCs w:val="24"/>
          <w:lang w:eastAsia="en-US"/>
        </w:rPr>
      </w:pPr>
      <w:r>
        <w:rPr>
          <w:rFonts w:eastAsia="Calibri" w:cs="Arial" w:ascii="Arial" w:hAnsi="Arial"/>
          <w:b/>
          <w:sz w:val="24"/>
          <w:szCs w:val="24"/>
          <w:lang w:eastAsia="en-US"/>
        </w:rPr>
        <w:t>SEÇÃO VIII</w:t>
      </w:r>
    </w:p>
    <w:p>
      <w:pPr>
        <w:pStyle w:val="Normal"/>
        <w:tabs>
          <w:tab w:val="clear" w:pos="708"/>
          <w:tab w:val="left" w:pos="0" w:leader="none"/>
          <w:tab w:val="left" w:pos="2880" w:leader="none"/>
        </w:tabs>
        <w:ind w:left="510" w:hanging="0"/>
        <w:jc w:val="center"/>
        <w:rPr>
          <w:rFonts w:ascii="Arial" w:hAnsi="Arial" w:eastAsia="Calibri" w:cs="Arial"/>
          <w:b/>
          <w:bCs/>
          <w:sz w:val="24"/>
          <w:szCs w:val="24"/>
          <w:lang w:eastAsia="en-US"/>
        </w:rPr>
      </w:pPr>
      <w:r>
        <w:rPr>
          <w:rFonts w:eastAsia="Calibri" w:cs="Arial" w:ascii="Arial" w:hAnsi="Arial"/>
          <w:b/>
          <w:bCs/>
          <w:sz w:val="24"/>
          <w:szCs w:val="24"/>
          <w:lang w:eastAsia="en-US"/>
        </w:rPr>
        <w:t>ESTIMATIVA E COMPENSAÇÃO DA RENÚNCIA DE RECEITA</w:t>
      </w:r>
    </w:p>
    <w:p>
      <w:pPr>
        <w:pStyle w:val="Normal"/>
        <w:tabs>
          <w:tab w:val="clear" w:pos="708"/>
          <w:tab w:val="left" w:pos="0" w:leader="none"/>
          <w:tab w:val="left" w:pos="2880" w:leader="none"/>
        </w:tabs>
        <w:ind w:left="510" w:hanging="0"/>
        <w:jc w:val="center"/>
        <w:rPr>
          <w:rFonts w:ascii="Arial" w:hAnsi="Arial" w:eastAsia="Calibri" w:cs="Arial"/>
          <w:b/>
          <w:bCs/>
          <w:sz w:val="24"/>
          <w:szCs w:val="24"/>
          <w:lang w:eastAsia="en-US"/>
        </w:rPr>
      </w:pPr>
      <w:r>
        <w:rPr>
          <w:rFonts w:eastAsia="Calibri" w:cs="Arial" w:ascii="Arial" w:hAnsi="Arial"/>
          <w:b/>
          <w:bCs/>
          <w:sz w:val="24"/>
          <w:szCs w:val="24"/>
          <w:lang w:eastAsia="en-US"/>
        </w:rPr>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Art. 13 -</w:t>
      </w:r>
      <w:r>
        <w:rPr>
          <w:rFonts w:eastAsia="Calibri" w:cs="Arial" w:ascii="Arial" w:hAnsi="Arial"/>
          <w:sz w:val="24"/>
          <w:szCs w:val="24"/>
          <w:lang w:eastAsia="en-US"/>
        </w:rPr>
        <w:t xml:space="preserve"> Conforme estabelecido no § 2º, inciso V, do Art. 4º, da LRF, o Anexo de Metas Fiscais contém um demonstrativo que indica a natureza da renúncia fiscal e sua compensação, de maneira a propiciar o equilíbrio das contas.</w:t>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2880" w:leader="none"/>
        </w:tabs>
        <w:ind w:left="510" w:hanging="0"/>
        <w:jc w:val="center"/>
        <w:rPr>
          <w:rFonts w:ascii="Arial" w:hAnsi="Arial" w:eastAsia="Calibri" w:cs="Arial"/>
          <w:sz w:val="24"/>
          <w:szCs w:val="24"/>
          <w:lang w:eastAsia="en-US"/>
        </w:rPr>
      </w:pPr>
      <w:r>
        <w:rPr>
          <w:rFonts w:eastAsia="Calibri" w:cs="Arial" w:ascii="Arial" w:hAnsi="Arial"/>
          <w:b/>
          <w:sz w:val="24"/>
          <w:szCs w:val="24"/>
          <w:lang w:eastAsia="en-US"/>
        </w:rPr>
        <w:t>SEÇÃO IX</w:t>
      </w:r>
    </w:p>
    <w:p>
      <w:pPr>
        <w:pStyle w:val="Normal"/>
        <w:tabs>
          <w:tab w:val="clear" w:pos="708"/>
          <w:tab w:val="left" w:pos="0" w:leader="none"/>
          <w:tab w:val="left" w:pos="2880" w:leader="none"/>
        </w:tabs>
        <w:ind w:left="510" w:hanging="0"/>
        <w:jc w:val="center"/>
        <w:rPr>
          <w:rFonts w:ascii="Arial" w:hAnsi="Arial" w:eastAsia="Calibri" w:cs="Arial"/>
          <w:sz w:val="24"/>
          <w:szCs w:val="24"/>
          <w:lang w:eastAsia="en-US"/>
        </w:rPr>
      </w:pPr>
      <w:r>
        <w:rPr>
          <w:rFonts w:eastAsia="Calibri" w:cs="Arial" w:ascii="Arial" w:hAnsi="Arial"/>
          <w:b/>
          <w:bCs/>
          <w:sz w:val="24"/>
          <w:szCs w:val="24"/>
          <w:lang w:eastAsia="en-US"/>
        </w:rPr>
        <w:t>MARGEM DE EXPANSÃO DAS DESPESAS OBRIGATÓRIAS DE CARÁTER CONTINUADO</w:t>
      </w:r>
      <w:r>
        <w:rPr>
          <w:rFonts w:eastAsia="Calibri" w:cs="Arial" w:ascii="Arial" w:hAnsi="Arial"/>
          <w:sz w:val="24"/>
          <w:szCs w:val="24"/>
          <w:lang w:eastAsia="en-US"/>
        </w:rPr>
        <w:t>.</w:t>
      </w:r>
    </w:p>
    <w:p>
      <w:pPr>
        <w:pStyle w:val="Normal"/>
        <w:tabs>
          <w:tab w:val="clear" w:pos="708"/>
          <w:tab w:val="left" w:pos="0" w:leader="none"/>
          <w:tab w:val="left" w:pos="360" w:leader="none"/>
          <w:tab w:val="left" w:pos="342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Art. 14 - O Art. 17,</w:t>
      </w:r>
      <w:r>
        <w:rPr>
          <w:rFonts w:eastAsia="Calibri" w:cs="Arial" w:ascii="Arial" w:hAnsi="Arial"/>
          <w:sz w:val="24"/>
          <w:szCs w:val="24"/>
          <w:lang w:eastAsia="en-US"/>
        </w:rPr>
        <w:t xml:space="preserve"> da LRF, considera obrigatória de caráter continuado a despesa corrente derivada de lei, medida provisória ou ato administrativo normativo que fixem para o ente obrigação legal de sua execução por um período superior a dois exercícios.</w:t>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Parágrafo Único -</w:t>
      </w:r>
      <w:r>
        <w:rPr>
          <w:rFonts w:eastAsia="Calibri" w:cs="Arial" w:ascii="Arial" w:hAnsi="Arial"/>
          <w:sz w:val="24"/>
          <w:szCs w:val="24"/>
          <w:lang w:eastAsia="en-US"/>
        </w:rPr>
        <w:t xml:space="preserve"> O Demonstrativo 8 - Margem de Expansão das Despesas de Caráter Continuado, destina-se a permitir possível inclusão de eventuais programas, projetos ou atividades que venham caracterizar a criação de despesas de caráter continuado.</w:t>
      </w:r>
    </w:p>
    <w:p>
      <w:pPr>
        <w:pStyle w:val="Normal"/>
        <w:tabs>
          <w:tab w:val="clear" w:pos="708"/>
          <w:tab w:val="left" w:pos="0" w:leader="none"/>
          <w:tab w:val="left" w:pos="2880" w:leader="none"/>
        </w:tabs>
        <w:ind w:left="510" w:hanging="0"/>
        <w:jc w:val="both"/>
        <w:rPr>
          <w:rFonts w:ascii="Arial" w:hAnsi="Arial" w:eastAsia="Calibri" w:cs="Arial"/>
          <w:b/>
          <w:bCs/>
          <w:sz w:val="24"/>
          <w:szCs w:val="24"/>
          <w:lang w:eastAsia="en-US"/>
        </w:rPr>
      </w:pPr>
      <w:r>
        <w:rPr>
          <w:rFonts w:eastAsia="Calibri" w:cs="Arial" w:ascii="Arial" w:hAnsi="Arial"/>
          <w:b/>
          <w:bCs/>
          <w:sz w:val="24"/>
          <w:szCs w:val="24"/>
          <w:lang w:eastAsia="en-US"/>
        </w:rPr>
      </w:r>
    </w:p>
    <w:p>
      <w:pPr>
        <w:pStyle w:val="Normal"/>
        <w:tabs>
          <w:tab w:val="clear" w:pos="708"/>
          <w:tab w:val="left" w:pos="0" w:leader="none"/>
          <w:tab w:val="left" w:pos="2880" w:leader="none"/>
        </w:tabs>
        <w:ind w:left="510" w:hanging="0"/>
        <w:jc w:val="center"/>
        <w:rPr>
          <w:rFonts w:ascii="Arial" w:hAnsi="Arial" w:eastAsia="Calibri" w:cs="Arial"/>
          <w:b/>
          <w:bCs/>
          <w:sz w:val="24"/>
          <w:szCs w:val="24"/>
          <w:lang w:eastAsia="en-US"/>
        </w:rPr>
      </w:pPr>
      <w:r>
        <w:rPr>
          <w:rFonts w:eastAsia="Calibri" w:cs="Arial" w:ascii="Arial" w:hAnsi="Arial"/>
          <w:b/>
          <w:bCs/>
          <w:sz w:val="24"/>
          <w:szCs w:val="24"/>
          <w:lang w:eastAsia="en-US"/>
        </w:rPr>
        <w:t>SEÇÃO X</w:t>
      </w:r>
    </w:p>
    <w:p>
      <w:pPr>
        <w:pStyle w:val="Normal"/>
        <w:tabs>
          <w:tab w:val="clear" w:pos="708"/>
          <w:tab w:val="left" w:pos="0" w:leader="none"/>
          <w:tab w:val="left" w:pos="2880" w:leader="none"/>
        </w:tabs>
        <w:ind w:left="510" w:hanging="0"/>
        <w:jc w:val="center"/>
        <w:rPr>
          <w:rFonts w:ascii="Arial" w:hAnsi="Arial" w:eastAsia="Calibri" w:cs="Arial"/>
          <w:b/>
          <w:bCs/>
          <w:sz w:val="24"/>
          <w:szCs w:val="24"/>
          <w:lang w:eastAsia="en-US"/>
        </w:rPr>
      </w:pPr>
      <w:r>
        <w:rPr>
          <w:rFonts w:eastAsia="Calibri" w:cs="Arial" w:ascii="Arial" w:hAnsi="Arial"/>
          <w:b/>
          <w:bCs/>
          <w:sz w:val="24"/>
          <w:szCs w:val="24"/>
          <w:lang w:eastAsia="en-US"/>
        </w:rPr>
        <w:t>MEMÓRIA E METODOLOGIA DE CÁLCULO DAS METAS ANUAIS DE RECEITAS, DESPESAS, RESULTADO PRIMÁRIO, RESULTADO NOMINAL E MONTANTE DA DÍVIDA PÚBLICA.</w:t>
      </w:r>
    </w:p>
    <w:p>
      <w:pPr>
        <w:pStyle w:val="Normal"/>
        <w:tabs>
          <w:tab w:val="clear" w:pos="708"/>
          <w:tab w:val="left" w:pos="0" w:leader="none"/>
          <w:tab w:val="left" w:pos="360" w:leader="none"/>
          <w:tab w:val="left" w:pos="3420" w:leader="none"/>
          <w:tab w:val="left" w:pos="396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360" w:leader="none"/>
          <w:tab w:val="left" w:pos="3420" w:leader="none"/>
          <w:tab w:val="left" w:pos="3960" w:leader="none"/>
        </w:tabs>
        <w:ind w:left="510" w:hanging="0"/>
        <w:jc w:val="center"/>
        <w:rPr>
          <w:rFonts w:ascii="Arial" w:hAnsi="Arial" w:eastAsia="Calibri" w:cs="Arial"/>
          <w:b/>
          <w:sz w:val="24"/>
          <w:szCs w:val="24"/>
          <w:lang w:eastAsia="en-US"/>
        </w:rPr>
      </w:pPr>
      <w:r>
        <w:rPr>
          <w:rFonts w:eastAsia="Calibri" w:cs="Arial" w:ascii="Arial" w:hAnsi="Arial"/>
          <w:b/>
          <w:sz w:val="24"/>
          <w:szCs w:val="24"/>
          <w:lang w:eastAsia="en-US"/>
        </w:rPr>
      </w:r>
    </w:p>
    <w:p>
      <w:pPr>
        <w:pStyle w:val="Normal"/>
        <w:tabs>
          <w:tab w:val="clear" w:pos="708"/>
          <w:tab w:val="left" w:pos="0" w:leader="none"/>
          <w:tab w:val="left" w:pos="360" w:leader="none"/>
          <w:tab w:val="left" w:pos="3420" w:leader="none"/>
          <w:tab w:val="left" w:pos="3960" w:leader="none"/>
        </w:tabs>
        <w:ind w:left="510" w:hanging="0"/>
        <w:jc w:val="center"/>
        <w:rPr>
          <w:rFonts w:ascii="Arial" w:hAnsi="Arial" w:eastAsia="Calibri" w:cs="Arial"/>
          <w:b/>
          <w:sz w:val="24"/>
          <w:szCs w:val="24"/>
          <w:lang w:eastAsia="en-US"/>
        </w:rPr>
      </w:pPr>
      <w:r>
        <w:rPr>
          <w:rFonts w:eastAsia="Calibri" w:cs="Arial" w:ascii="Arial" w:hAnsi="Arial"/>
          <w:b/>
          <w:sz w:val="24"/>
          <w:szCs w:val="24"/>
          <w:lang w:eastAsia="en-US"/>
        </w:rPr>
      </w:r>
    </w:p>
    <w:p>
      <w:pPr>
        <w:pStyle w:val="Normal"/>
        <w:tabs>
          <w:tab w:val="clear" w:pos="708"/>
          <w:tab w:val="left" w:pos="0" w:leader="none"/>
          <w:tab w:val="left" w:pos="360" w:leader="none"/>
          <w:tab w:val="left" w:pos="3420" w:leader="none"/>
          <w:tab w:val="left" w:pos="3960" w:leader="none"/>
        </w:tabs>
        <w:ind w:left="510" w:hanging="0"/>
        <w:jc w:val="center"/>
        <w:rPr>
          <w:rFonts w:ascii="Arial" w:hAnsi="Arial" w:eastAsia="Calibri" w:cs="Arial"/>
          <w:b/>
          <w:sz w:val="24"/>
          <w:szCs w:val="24"/>
          <w:lang w:eastAsia="en-US"/>
        </w:rPr>
      </w:pPr>
      <w:r>
        <w:rPr>
          <w:rFonts w:eastAsia="Calibri" w:cs="Arial" w:ascii="Arial" w:hAnsi="Arial"/>
          <w:b/>
          <w:sz w:val="24"/>
          <w:szCs w:val="24"/>
          <w:lang w:eastAsia="en-US"/>
        </w:rPr>
        <w:t>SUBSEÇÃO I</w:t>
      </w:r>
    </w:p>
    <w:p>
      <w:pPr>
        <w:pStyle w:val="Normal"/>
        <w:tabs>
          <w:tab w:val="clear" w:pos="708"/>
          <w:tab w:val="left" w:pos="0" w:leader="none"/>
          <w:tab w:val="left" w:pos="2880" w:leader="none"/>
        </w:tabs>
        <w:ind w:left="510" w:hanging="0"/>
        <w:jc w:val="center"/>
        <w:rPr>
          <w:rFonts w:ascii="Arial" w:hAnsi="Arial" w:eastAsia="Calibri" w:cs="Arial"/>
          <w:b/>
          <w:bCs/>
          <w:sz w:val="24"/>
          <w:szCs w:val="24"/>
          <w:lang w:eastAsia="en-US"/>
        </w:rPr>
      </w:pPr>
      <w:r>
        <w:rPr>
          <w:rFonts w:eastAsia="Calibri" w:cs="Arial" w:ascii="Arial" w:hAnsi="Arial"/>
          <w:b/>
          <w:bCs/>
          <w:sz w:val="24"/>
          <w:szCs w:val="24"/>
          <w:lang w:eastAsia="en-US"/>
        </w:rPr>
        <w:t>METODOLOGIA E MEMÓRIA DE CÁLCULO DAS METAS ANUAIS DAS RECEITAS E DESPESAS.</w:t>
      </w:r>
    </w:p>
    <w:p>
      <w:pPr>
        <w:pStyle w:val="Normal"/>
        <w:tabs>
          <w:tab w:val="clear" w:pos="708"/>
          <w:tab w:val="left" w:pos="0" w:leader="none"/>
          <w:tab w:val="left" w:pos="360" w:leader="none"/>
          <w:tab w:val="left" w:pos="3420" w:leader="none"/>
          <w:tab w:val="left" w:pos="396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tab/>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Art. 15 -</w:t>
      </w:r>
      <w:r>
        <w:rPr>
          <w:rFonts w:eastAsia="Calibri" w:cs="Arial" w:ascii="Arial" w:hAnsi="Arial"/>
          <w:sz w:val="24"/>
          <w:szCs w:val="24"/>
          <w:lang w:eastAsia="en-US"/>
        </w:rPr>
        <w:t xml:space="preserve"> O § 2º, inciso II, do Art. 4º, da LRF, determina que o demonstrativo de Metas Anuais seja instruído com memória e metodologia de cálculo que justifiquem os resultados pretendidos, comparando-as com as fixadas nos três exercícios anteriores, e evidenciando a consistência delas com as premissas e os objetivos da política econômica nacional.</w:t>
      </w:r>
    </w:p>
    <w:p>
      <w:pPr>
        <w:pStyle w:val="Normal"/>
        <w:tabs>
          <w:tab w:val="clear" w:pos="708"/>
          <w:tab w:val="left" w:pos="0" w:leader="none"/>
          <w:tab w:val="left" w:pos="360" w:leader="none"/>
          <w:tab w:val="left" w:pos="3420" w:leader="none"/>
          <w:tab w:val="left" w:pos="396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288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 Único -</w:t>
      </w:r>
      <w:r>
        <w:rPr>
          <w:rFonts w:eastAsia="Calibri" w:cs="Arial" w:ascii="Arial" w:hAnsi="Arial"/>
          <w:sz w:val="24"/>
          <w:szCs w:val="24"/>
          <w:lang w:eastAsia="en-US"/>
        </w:rPr>
        <w:t xml:space="preserve"> De conformidade com a Portaria STN nº 699, de 07 de julho de 2023, a base de dados da receita e da despesa constitui-se dos valores arrecadados na receita realizada e na despesa executada nos três exercícios anteriores e das previsões para 2025, 2026 e 2027, com base nas projeções dos índices oficiais de infração e o PIB do Estado do Rio de Janeiro.</w:t>
      </w:r>
    </w:p>
    <w:p>
      <w:pPr>
        <w:pStyle w:val="Normal"/>
        <w:tabs>
          <w:tab w:val="clear" w:pos="708"/>
          <w:tab w:val="left" w:pos="288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288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360" w:leader="none"/>
          <w:tab w:val="left" w:pos="3420" w:leader="none"/>
          <w:tab w:val="left" w:pos="3960" w:leader="none"/>
        </w:tabs>
        <w:ind w:left="510" w:hanging="0"/>
        <w:jc w:val="center"/>
        <w:rPr>
          <w:rFonts w:ascii="Arial" w:hAnsi="Arial" w:eastAsia="Calibri" w:cs="Arial"/>
          <w:b/>
          <w:sz w:val="24"/>
          <w:szCs w:val="24"/>
          <w:lang w:eastAsia="en-US"/>
        </w:rPr>
      </w:pPr>
      <w:r>
        <w:rPr>
          <w:rFonts w:eastAsia="Calibri" w:cs="Arial" w:ascii="Arial" w:hAnsi="Arial"/>
          <w:b/>
          <w:sz w:val="24"/>
          <w:szCs w:val="24"/>
          <w:lang w:eastAsia="en-US"/>
        </w:rPr>
        <w:t>SUBSEÇÃO II</w:t>
      </w:r>
    </w:p>
    <w:p>
      <w:pPr>
        <w:pStyle w:val="Normal"/>
        <w:tabs>
          <w:tab w:val="clear" w:pos="708"/>
          <w:tab w:val="left" w:pos="0" w:leader="none"/>
          <w:tab w:val="left" w:pos="2880" w:leader="none"/>
        </w:tabs>
        <w:ind w:left="510" w:hanging="0"/>
        <w:jc w:val="center"/>
        <w:rPr>
          <w:rFonts w:ascii="Arial" w:hAnsi="Arial" w:eastAsia="Calibri" w:cs="Arial"/>
          <w:b/>
          <w:bCs/>
          <w:sz w:val="24"/>
          <w:szCs w:val="24"/>
          <w:lang w:eastAsia="en-US"/>
        </w:rPr>
      </w:pPr>
      <w:r>
        <w:rPr>
          <w:rFonts w:eastAsia="Calibri" w:cs="Arial" w:ascii="Arial" w:hAnsi="Arial"/>
          <w:b/>
          <w:bCs/>
          <w:sz w:val="24"/>
          <w:szCs w:val="24"/>
          <w:lang w:eastAsia="en-US"/>
        </w:rPr>
        <w:t>METODOLOGIA E MEMÓRIA DE CÁLCULO DAS METAS ANUAIS DOS RESULTADOS PRIMÁRIO E NOMINAL.</w:t>
      </w:r>
    </w:p>
    <w:p>
      <w:pPr>
        <w:pStyle w:val="Normal"/>
        <w:tabs>
          <w:tab w:val="clear" w:pos="708"/>
          <w:tab w:val="left" w:pos="0" w:leader="none"/>
          <w:tab w:val="left" w:pos="360" w:leader="none"/>
          <w:tab w:val="left" w:pos="3420" w:leader="none"/>
          <w:tab w:val="left" w:pos="396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Art. 16 -</w:t>
      </w:r>
      <w:r>
        <w:rPr>
          <w:rFonts w:eastAsia="Calibri" w:cs="Arial" w:ascii="Arial" w:hAnsi="Arial"/>
          <w:sz w:val="24"/>
          <w:szCs w:val="24"/>
          <w:lang w:eastAsia="en-US"/>
        </w:rPr>
        <w:t xml:space="preserve"> A finalidade do conceito de Resultado Primário é indicar se os níveis de gastos orçamentários são compatíveis com sua arrecadação, ou seja, se as receitas não financeiras são capazes de suportar as despesas não financeiras.</w:t>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Art. 17 -</w:t>
      </w:r>
      <w:r>
        <w:rPr>
          <w:rFonts w:eastAsia="Calibri" w:cs="Arial" w:ascii="Arial" w:hAnsi="Arial"/>
          <w:sz w:val="24"/>
          <w:szCs w:val="24"/>
          <w:lang w:eastAsia="en-US"/>
        </w:rPr>
        <w:t xml:space="preserve"> O cálculo do Resultado Nominal obedece à metodologia determinada pelo Governo Federal, com regulamentação pela STN.</w:t>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 1º -</w:t>
      </w:r>
      <w:r>
        <w:rPr>
          <w:rFonts w:eastAsia="Calibri" w:cs="Arial" w:ascii="Arial" w:hAnsi="Arial"/>
          <w:sz w:val="24"/>
          <w:szCs w:val="24"/>
          <w:lang w:eastAsia="en-US"/>
        </w:rPr>
        <w:t xml:space="preserve"> O cálculo da Meta de Resultado Primário obedece à metodologia estabelecida pelo Governo Federal, através das Portarias expedidas pela STN - Secretaria do Tesouro Nacional e às normas da contabilidade pública.</w:t>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360" w:leader="none"/>
          <w:tab w:val="left" w:pos="3420" w:leader="none"/>
          <w:tab w:val="left" w:pos="396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 2º -</w:t>
      </w:r>
      <w:r>
        <w:rPr>
          <w:rFonts w:eastAsia="Calibri" w:cs="Arial" w:ascii="Arial" w:hAnsi="Arial"/>
          <w:sz w:val="24"/>
          <w:szCs w:val="24"/>
          <w:lang w:eastAsia="en-US"/>
        </w:rPr>
        <w:t xml:space="preserve"> O cálculo das Metas Anuais do Resultado Nominal, leva em conta a Dívida Consolidada, da qual deverá ser deduzido o Ativo Disponível, mais Haveres Financeiros menos Restos a Pagar Processados, que resultará na Dívida Consolidada Líquida, que somada às Receitas de Privatizações e deduzidos os Passivos Reconhecidos, resultará na Dívida Fiscal Líquida.</w:t>
      </w:r>
    </w:p>
    <w:p>
      <w:pPr>
        <w:pStyle w:val="Normal"/>
        <w:tabs>
          <w:tab w:val="clear" w:pos="708"/>
          <w:tab w:val="left" w:pos="0" w:leader="none"/>
          <w:tab w:val="left" w:pos="360" w:leader="none"/>
          <w:tab w:val="left" w:pos="3420" w:leader="none"/>
          <w:tab w:val="left" w:pos="396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360" w:leader="none"/>
          <w:tab w:val="left" w:pos="3420" w:leader="none"/>
          <w:tab w:val="left" w:pos="396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 3º -</w:t>
      </w:r>
      <w:r>
        <w:rPr>
          <w:rFonts w:eastAsia="Calibri" w:cs="Arial" w:ascii="Arial" w:hAnsi="Arial"/>
          <w:sz w:val="24"/>
          <w:szCs w:val="24"/>
          <w:lang w:eastAsia="en-US"/>
        </w:rPr>
        <w:t xml:space="preserve"> A unificação dos Demonstrativos de Resultados Primário e Nominal, obedeceram às determinações da Portaria STN Nº 495/2017 e o modelo de relatório da Portaria STN nº 286, de 7 de maio de 2019.</w:t>
      </w:r>
    </w:p>
    <w:p>
      <w:pPr>
        <w:pStyle w:val="Normal"/>
        <w:tabs>
          <w:tab w:val="clear" w:pos="708"/>
          <w:tab w:val="left" w:pos="0" w:leader="none"/>
          <w:tab w:val="left" w:pos="360" w:leader="none"/>
          <w:tab w:val="left" w:pos="3420" w:leader="none"/>
          <w:tab w:val="left" w:pos="396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360" w:leader="none"/>
          <w:tab w:val="left" w:pos="3420" w:leader="none"/>
          <w:tab w:val="left" w:pos="3960" w:leader="none"/>
        </w:tabs>
        <w:ind w:left="510" w:hanging="0"/>
        <w:jc w:val="center"/>
        <w:rPr>
          <w:rFonts w:ascii="Arial" w:hAnsi="Arial" w:eastAsia="Calibri" w:cs="Arial"/>
          <w:b/>
          <w:sz w:val="24"/>
          <w:szCs w:val="24"/>
          <w:lang w:eastAsia="en-US"/>
        </w:rPr>
      </w:pPr>
      <w:r>
        <w:rPr>
          <w:rFonts w:eastAsia="Calibri" w:cs="Arial" w:ascii="Arial" w:hAnsi="Arial"/>
          <w:b/>
          <w:sz w:val="24"/>
          <w:szCs w:val="24"/>
          <w:lang w:eastAsia="en-US"/>
        </w:rPr>
        <w:t>SUBSEÇÃO III</w:t>
      </w:r>
    </w:p>
    <w:p>
      <w:pPr>
        <w:pStyle w:val="Normal"/>
        <w:tabs>
          <w:tab w:val="clear" w:pos="708"/>
          <w:tab w:val="left" w:pos="0" w:leader="none"/>
          <w:tab w:val="left" w:pos="2880" w:leader="none"/>
        </w:tabs>
        <w:ind w:left="510" w:hanging="0"/>
        <w:jc w:val="center"/>
        <w:rPr>
          <w:rFonts w:ascii="Arial" w:hAnsi="Arial" w:eastAsia="Calibri" w:cs="Arial"/>
          <w:b/>
          <w:bCs/>
          <w:sz w:val="24"/>
          <w:szCs w:val="24"/>
          <w:lang w:eastAsia="en-US"/>
        </w:rPr>
      </w:pPr>
      <w:r>
        <w:rPr>
          <w:rFonts w:eastAsia="Calibri" w:cs="Arial" w:ascii="Arial" w:hAnsi="Arial"/>
          <w:b/>
          <w:bCs/>
          <w:sz w:val="24"/>
          <w:szCs w:val="24"/>
          <w:lang w:eastAsia="en-US"/>
        </w:rPr>
        <w:t>METODOLOGIA E MEMÓRIA DE CÁLCULO DAS METAS ANUAIS DO MONTANTE DA DÍVIDA PÚBLICA.</w:t>
      </w:r>
    </w:p>
    <w:p>
      <w:pPr>
        <w:pStyle w:val="Normal"/>
        <w:tabs>
          <w:tab w:val="clear" w:pos="708"/>
          <w:tab w:val="left" w:pos="0" w:leader="none"/>
          <w:tab w:val="left" w:pos="360" w:leader="none"/>
          <w:tab w:val="left" w:pos="3420" w:leader="none"/>
          <w:tab w:val="left" w:pos="3960" w:leader="none"/>
        </w:tabs>
        <w:ind w:left="510" w:hanging="0"/>
        <w:jc w:val="center"/>
        <w:rPr>
          <w:rFonts w:ascii="Arial" w:hAnsi="Arial" w:eastAsia="Calibri" w:cs="Arial"/>
          <w:b/>
          <w:bCs/>
          <w:sz w:val="24"/>
          <w:szCs w:val="24"/>
          <w:lang w:eastAsia="en-US"/>
        </w:rPr>
      </w:pPr>
      <w:r>
        <w:rPr>
          <w:rFonts w:eastAsia="Calibri" w:cs="Arial" w:ascii="Arial" w:hAnsi="Arial"/>
          <w:b/>
          <w:bCs/>
          <w:sz w:val="24"/>
          <w:szCs w:val="24"/>
          <w:lang w:eastAsia="en-US"/>
        </w:rPr>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Art. 18 -</w:t>
      </w:r>
      <w:r>
        <w:rPr>
          <w:rFonts w:eastAsia="Calibri" w:cs="Arial" w:ascii="Arial" w:hAnsi="Arial"/>
          <w:sz w:val="24"/>
          <w:szCs w:val="24"/>
          <w:lang w:eastAsia="en-US"/>
        </w:rPr>
        <w:t xml:space="preserve"> Dívida Pública é o montante das obrigações assumidas pelo ente da Federação. Esta é representada pela emissão de títulos, operações de créditos e precatórios judiciais.   </w:t>
      </w:r>
    </w:p>
    <w:p>
      <w:pPr>
        <w:pStyle w:val="Normal"/>
        <w:tabs>
          <w:tab w:val="clear" w:pos="708"/>
          <w:tab w:val="left" w:pos="0" w:leader="none"/>
          <w:tab w:val="left" w:pos="360" w:leader="none"/>
          <w:tab w:val="left" w:pos="3420" w:leader="none"/>
          <w:tab w:val="left" w:pos="3960" w:leader="none"/>
        </w:tabs>
        <w:ind w:left="510" w:hanging="0"/>
        <w:rPr>
          <w:rFonts w:ascii="Arial" w:hAnsi="Arial" w:eastAsia="Calibri" w:cs="Arial"/>
          <w:sz w:val="24"/>
          <w:szCs w:val="24"/>
          <w:lang w:eastAsia="en-US"/>
        </w:rPr>
      </w:pPr>
      <w:r>
        <w:rPr>
          <w:rFonts w:eastAsia="Calibri" w:cs="Arial" w:ascii="Arial" w:hAnsi="Arial"/>
          <w:sz w:val="24"/>
          <w:szCs w:val="24"/>
          <w:lang w:eastAsia="en-US"/>
        </w:rPr>
      </w:r>
    </w:p>
    <w:p>
      <w:pPr>
        <w:pStyle w:val="Normal"/>
        <w:keepNext w:val="true"/>
        <w:tabs>
          <w:tab w:val="clear" w:pos="708"/>
          <w:tab w:val="left" w:pos="2880" w:leader="none"/>
        </w:tabs>
        <w:ind w:left="510" w:hanging="0"/>
        <w:jc w:val="both"/>
        <w:rPr>
          <w:rFonts w:ascii="Arial" w:hAnsi="Arial" w:eastAsia="Calibri" w:cs="Arial"/>
          <w:b/>
          <w:bCs/>
          <w:sz w:val="24"/>
          <w:szCs w:val="24"/>
          <w:lang w:eastAsia="en-US"/>
        </w:rPr>
      </w:pPr>
      <w:r>
        <w:rPr>
          <w:rFonts w:eastAsia="Calibri" w:cs="Arial" w:ascii="Arial" w:hAnsi="Arial"/>
          <w:b/>
          <w:sz w:val="24"/>
          <w:szCs w:val="24"/>
          <w:lang w:eastAsia="en-US"/>
        </w:rPr>
        <w:t>§ Único -</w:t>
      </w:r>
      <w:r>
        <w:rPr>
          <w:rFonts w:eastAsia="Calibri" w:cs="Arial" w:ascii="Arial" w:hAnsi="Arial"/>
          <w:sz w:val="24"/>
          <w:szCs w:val="24"/>
          <w:lang w:eastAsia="en-US"/>
        </w:rPr>
        <w:t xml:space="preserve"> Utiliza a base de dados de Balanços e Balancetes para sua elaboração, constituída dos valores apurados nos exercícios anteriores e da projeção dos valores para 2025, 2026 e 2027.  </w:t>
      </w:r>
    </w:p>
    <w:p>
      <w:pPr>
        <w:pStyle w:val="Normal"/>
        <w:keepNext w:val="true"/>
        <w:tabs>
          <w:tab w:val="clear" w:pos="708"/>
          <w:tab w:val="left" w:pos="2880" w:leader="none"/>
        </w:tabs>
        <w:ind w:left="510" w:hanging="0"/>
        <w:jc w:val="both"/>
        <w:rPr>
          <w:rFonts w:ascii="Arial" w:hAnsi="Arial" w:eastAsia="Calibri" w:cs="Arial"/>
          <w:b/>
          <w:bCs/>
          <w:sz w:val="24"/>
          <w:szCs w:val="24"/>
          <w:lang w:eastAsia="en-US"/>
        </w:rPr>
      </w:pPr>
      <w:r>
        <w:rPr>
          <w:rFonts w:eastAsia="Calibri" w:cs="Arial" w:ascii="Arial" w:hAnsi="Arial"/>
          <w:b/>
          <w:bCs/>
          <w:sz w:val="24"/>
          <w:szCs w:val="24"/>
          <w:lang w:eastAsia="en-US"/>
        </w:rPr>
      </w:r>
    </w:p>
    <w:p>
      <w:pPr>
        <w:pStyle w:val="Normal"/>
        <w:tabs>
          <w:tab w:val="clear" w:pos="708"/>
          <w:tab w:val="left" w:pos="2880" w:leader="none"/>
        </w:tabs>
        <w:ind w:left="510" w:hanging="0"/>
        <w:jc w:val="center"/>
        <w:rPr>
          <w:rFonts w:ascii="Arial" w:hAnsi="Arial" w:cs="Arial"/>
          <w:b/>
          <w:bCs/>
          <w:sz w:val="24"/>
          <w:szCs w:val="24"/>
        </w:rPr>
      </w:pPr>
      <w:r>
        <w:rPr>
          <w:rFonts w:cs="Arial" w:ascii="Arial" w:hAnsi="Arial"/>
          <w:b/>
          <w:bCs/>
          <w:sz w:val="24"/>
          <w:szCs w:val="24"/>
        </w:rPr>
      </w:r>
    </w:p>
    <w:p>
      <w:pPr>
        <w:pStyle w:val="Normal"/>
        <w:tabs>
          <w:tab w:val="clear" w:pos="708"/>
          <w:tab w:val="left" w:pos="2880" w:leader="none"/>
        </w:tabs>
        <w:ind w:left="510" w:hanging="0"/>
        <w:jc w:val="center"/>
        <w:rPr>
          <w:rFonts w:ascii="Arial" w:hAnsi="Arial" w:cs="Arial"/>
          <w:b/>
          <w:bCs/>
          <w:sz w:val="24"/>
          <w:szCs w:val="24"/>
        </w:rPr>
      </w:pPr>
      <w:r>
        <w:rPr>
          <w:rFonts w:cs="Arial" w:ascii="Arial" w:hAnsi="Arial"/>
          <w:b/>
          <w:bCs/>
          <w:sz w:val="24"/>
          <w:szCs w:val="24"/>
        </w:rPr>
        <w:t>CAPÍTULO III</w:t>
      </w:r>
    </w:p>
    <w:p>
      <w:pPr>
        <w:pStyle w:val="Normal"/>
        <w:tabs>
          <w:tab w:val="clear" w:pos="708"/>
          <w:tab w:val="left" w:pos="0" w:leader="none"/>
          <w:tab w:val="left" w:pos="2880" w:leader="none"/>
        </w:tabs>
        <w:ind w:left="510" w:hanging="0"/>
        <w:jc w:val="center"/>
        <w:rPr>
          <w:rFonts w:ascii="Arial" w:hAnsi="Arial" w:eastAsia="Calibri" w:cs="Arial"/>
          <w:b/>
          <w:bCs/>
          <w:sz w:val="24"/>
          <w:szCs w:val="24"/>
          <w:lang w:eastAsia="en-US"/>
        </w:rPr>
      </w:pPr>
      <w:r>
        <w:rPr>
          <w:rFonts w:eastAsia="Calibri" w:cs="Arial" w:ascii="Arial" w:hAnsi="Arial"/>
          <w:b/>
          <w:bCs/>
          <w:sz w:val="24"/>
          <w:szCs w:val="24"/>
          <w:lang w:eastAsia="en-US"/>
        </w:rPr>
        <w:t>DAS PRIORIDADES DA ADMINISTRAÇÃO MUNICIPAL</w:t>
      </w:r>
    </w:p>
    <w:p>
      <w:pPr>
        <w:pStyle w:val="Normal"/>
        <w:tabs>
          <w:tab w:val="clear" w:pos="708"/>
          <w:tab w:val="left" w:pos="0" w:leader="none"/>
          <w:tab w:val="left" w:pos="360" w:leader="none"/>
          <w:tab w:val="left" w:pos="3420" w:leader="none"/>
          <w:tab w:val="left" w:pos="3960" w:leader="none"/>
        </w:tabs>
        <w:ind w:left="510" w:hanging="0"/>
        <w:rPr>
          <w:rFonts w:ascii="Arial" w:hAnsi="Arial" w:eastAsia="Calibri" w:cs="Arial"/>
          <w:b/>
          <w:bCs/>
          <w:sz w:val="24"/>
          <w:szCs w:val="24"/>
          <w:lang w:eastAsia="en-US"/>
        </w:rPr>
      </w:pPr>
      <w:r>
        <w:rPr>
          <w:rFonts w:eastAsia="Calibri" w:cs="Arial" w:ascii="Arial" w:hAnsi="Arial"/>
          <w:b/>
          <w:bCs/>
          <w:sz w:val="24"/>
          <w:szCs w:val="24"/>
          <w:lang w:eastAsia="en-US"/>
        </w:rPr>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Art. 19 -</w:t>
      </w:r>
      <w:r>
        <w:rPr>
          <w:rFonts w:eastAsia="Calibri" w:cs="Arial" w:ascii="Arial" w:hAnsi="Arial"/>
          <w:sz w:val="24"/>
          <w:szCs w:val="24"/>
          <w:lang w:eastAsia="en-US"/>
        </w:rPr>
        <w:t xml:space="preserve"> As prioridades da Administração Municipal para o exercício financeiro de 2025 estão estabelecidas no Anexo I desta lei.</w:t>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 xml:space="preserve"> </w:t>
      </w:r>
      <w:r>
        <w:rPr>
          <w:rFonts w:eastAsia="Calibri" w:cs="Arial" w:ascii="Arial" w:hAnsi="Arial"/>
          <w:b/>
          <w:sz w:val="24"/>
          <w:szCs w:val="24"/>
          <w:lang w:eastAsia="en-US"/>
        </w:rPr>
        <w:t>§ 1º</w:t>
      </w:r>
      <w:r>
        <w:rPr>
          <w:rFonts w:eastAsia="Calibri" w:cs="Arial" w:ascii="Arial" w:hAnsi="Arial"/>
          <w:sz w:val="24"/>
          <w:szCs w:val="24"/>
          <w:lang w:eastAsia="en-US"/>
        </w:rPr>
        <w:t xml:space="preserve"> As Metas físicas e financeiras do Anexo I, serão definidas no RPPA-Revisão do Plano Plurianual para o período de 2025.</w:t>
        <w:tab/>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 2º -</w:t>
      </w:r>
      <w:r>
        <w:rPr>
          <w:rFonts w:eastAsia="Calibri" w:cs="Arial" w:ascii="Arial" w:hAnsi="Arial"/>
          <w:sz w:val="24"/>
          <w:szCs w:val="24"/>
          <w:lang w:eastAsia="en-US"/>
        </w:rPr>
        <w:t xml:space="preserve"> Os recursos estimados na Lei Orçamentária para 2025 serão destinados, preferencialmente, para as prioridades e metas estabelecidas no Anexo I, não se constituindo, todavia, em limite à programação das despesas.</w:t>
      </w:r>
    </w:p>
    <w:p>
      <w:pPr>
        <w:pStyle w:val="Normal"/>
        <w:tabs>
          <w:tab w:val="clear" w:pos="708"/>
          <w:tab w:val="left" w:pos="0" w:leader="none"/>
          <w:tab w:val="left" w:pos="360" w:leader="none"/>
          <w:tab w:val="left" w:pos="3420" w:leader="none"/>
          <w:tab w:val="left" w:pos="396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 xml:space="preserve">   </w:t>
      </w:r>
      <w:r>
        <w:rPr>
          <w:rFonts w:eastAsia="Calibri" w:cs="Arial" w:ascii="Arial" w:hAnsi="Arial"/>
          <w:b/>
          <w:sz w:val="24"/>
          <w:szCs w:val="24"/>
          <w:lang w:eastAsia="en-US"/>
        </w:rPr>
        <w:t>§ 3º -</w:t>
      </w:r>
      <w:r>
        <w:rPr>
          <w:rFonts w:eastAsia="Calibri" w:cs="Arial" w:ascii="Arial" w:hAnsi="Arial"/>
          <w:sz w:val="24"/>
          <w:szCs w:val="24"/>
          <w:lang w:eastAsia="en-US"/>
        </w:rPr>
        <w:t xml:space="preserve"> Na elaboração da proposta orçamentária para 2025, o Poder Executivo poderá aumentar ou diminuir as metas físicas estabelecidas no Anexo I, a fim de compatibilizar a despesa orçada à receita estimada, de forma a preservar o equilíbrio das contas públicas.</w:t>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 4º-</w:t>
      </w:r>
      <w:r>
        <w:rPr>
          <w:rFonts w:eastAsia="Calibri" w:cs="Arial" w:ascii="Arial" w:hAnsi="Arial"/>
          <w:sz w:val="24"/>
          <w:szCs w:val="24"/>
          <w:lang w:eastAsia="en-US"/>
        </w:rPr>
        <w:t>As prioridades e metas constantes do anexo I da presente Lei poderão ser revistas em função da Revisão do PPA para o período de 2025.</w:t>
        <w:tab/>
      </w:r>
    </w:p>
    <w:p>
      <w:pPr>
        <w:pStyle w:val="Normal"/>
        <w:ind w:left="510" w:hanging="0"/>
        <w:jc w:val="both"/>
        <w:rPr>
          <w:rFonts w:ascii="Arial" w:hAnsi="Arial" w:cs="Arial"/>
          <w:sz w:val="24"/>
          <w:szCs w:val="24"/>
        </w:rPr>
      </w:pPr>
      <w:r>
        <w:rPr>
          <w:rFonts w:cs="Arial" w:ascii="Arial" w:hAnsi="Arial"/>
          <w:b/>
          <w:bCs/>
          <w:sz w:val="24"/>
          <w:szCs w:val="24"/>
        </w:rPr>
        <w:tab/>
        <w:tab/>
        <w:tab/>
        <w:tab/>
        <w:tab/>
      </w:r>
    </w:p>
    <w:p>
      <w:pPr>
        <w:pStyle w:val="Normal"/>
        <w:ind w:left="510" w:hanging="0"/>
        <w:jc w:val="center"/>
        <w:rPr>
          <w:rFonts w:ascii="Arial" w:hAnsi="Arial" w:cs="Arial"/>
          <w:sz w:val="24"/>
          <w:szCs w:val="24"/>
        </w:rPr>
      </w:pPr>
      <w:r>
        <w:rPr>
          <w:rFonts w:cs="Arial" w:ascii="Arial" w:hAnsi="Arial"/>
          <w:b/>
          <w:bCs/>
          <w:sz w:val="24"/>
          <w:szCs w:val="24"/>
        </w:rPr>
        <w:t>CAPÍTULO IV</w:t>
      </w:r>
    </w:p>
    <w:p>
      <w:pPr>
        <w:pStyle w:val="Normal"/>
        <w:ind w:left="510" w:hanging="0"/>
        <w:jc w:val="center"/>
        <w:rPr>
          <w:rFonts w:ascii="Arial" w:hAnsi="Arial" w:cs="Arial"/>
          <w:b/>
          <w:bCs/>
          <w:sz w:val="24"/>
          <w:szCs w:val="24"/>
        </w:rPr>
      </w:pPr>
      <w:r>
        <w:rPr>
          <w:rFonts w:cs="Arial" w:ascii="Arial" w:hAnsi="Arial"/>
          <w:b/>
          <w:bCs/>
          <w:sz w:val="24"/>
          <w:szCs w:val="24"/>
        </w:rPr>
        <w:t>DA ESTRUTURA E ORGANIZAÇÃO DOS ORÇAMENTOS</w:t>
      </w:r>
    </w:p>
    <w:p>
      <w:pPr>
        <w:pStyle w:val="Normal"/>
        <w:ind w:left="510" w:hanging="0"/>
        <w:jc w:val="center"/>
        <w:rPr>
          <w:rFonts w:ascii="Arial" w:hAnsi="Arial" w:cs="Arial"/>
          <w:b/>
          <w:bCs/>
          <w:sz w:val="24"/>
          <w:szCs w:val="24"/>
        </w:rPr>
      </w:pPr>
      <w:r>
        <w:rPr>
          <w:rFonts w:cs="Arial" w:ascii="Arial" w:hAnsi="Arial"/>
          <w:b/>
          <w:bCs/>
          <w:sz w:val="24"/>
          <w:szCs w:val="24"/>
        </w:rPr>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 xml:space="preserve"> </w:t>
      </w:r>
      <w:r>
        <w:rPr>
          <w:rFonts w:eastAsia="Calibri" w:cs="Arial" w:ascii="Arial" w:hAnsi="Arial"/>
          <w:b/>
          <w:sz w:val="24"/>
          <w:szCs w:val="24"/>
          <w:lang w:eastAsia="en-US"/>
        </w:rPr>
        <w:t>Art. 20 -</w:t>
      </w:r>
      <w:r>
        <w:rPr>
          <w:rFonts w:eastAsia="Calibri" w:cs="Arial" w:ascii="Arial" w:hAnsi="Arial"/>
          <w:sz w:val="24"/>
          <w:szCs w:val="24"/>
          <w:lang w:eastAsia="en-US"/>
        </w:rPr>
        <w:t xml:space="preserve"> O orçamento para o exercício financeiro de 2025 abrangerá os Poderes Legislativo e Executivo, Autarquias, Fundos e Outras, que recebam recursos do Tesouro e da Seguridade Social e será estruturado em conformidade com a Estrutura Organizacional da Administração Pública Municipal de Pirai.</w:t>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Art. 21 -</w:t>
      </w:r>
      <w:r>
        <w:rPr>
          <w:rFonts w:eastAsia="Calibri" w:cs="Arial" w:ascii="Arial" w:hAnsi="Arial"/>
          <w:sz w:val="24"/>
          <w:szCs w:val="24"/>
          <w:lang w:eastAsia="en-US"/>
        </w:rPr>
        <w:t xml:space="preserve"> A Lei Orçamentária para 2025 evidenciará as Receitas e Despesas de cada uma das Unidades Gestoras, especificando aqueles vinculados a Fundos, Autarquias, e aos Orçamentos Fiscais e da Seguridade Social, desdobradas as despesas por função, subfunção, programa, projeto, atividade ou operações especiais e, quanto a sua natureza, por categoria econômica, grupo de natureza de despesa e modalidade de aplicação, tudo em conformidade com as Portarias SOF/STN 42/1999 e 163/2001 e suas alterações posteriores, as quais deverão conter os Anexos exigidos nas Portarias da Secretaria do Tesouro Nacional - STN.</w:t>
      </w:r>
    </w:p>
    <w:p>
      <w:pPr>
        <w:pStyle w:val="Normal"/>
        <w:tabs>
          <w:tab w:val="clear" w:pos="708"/>
          <w:tab w:val="left" w:pos="0" w:leader="none"/>
          <w:tab w:val="left" w:pos="540" w:leader="none"/>
          <w:tab w:val="left" w:pos="3420" w:leader="none"/>
          <w:tab w:val="left" w:pos="396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 xml:space="preserve"> </w:t>
      </w:r>
      <w:r>
        <w:rPr>
          <w:rFonts w:eastAsia="Calibri" w:cs="Arial" w:ascii="Arial" w:hAnsi="Arial"/>
          <w:b/>
          <w:sz w:val="24"/>
          <w:szCs w:val="24"/>
          <w:lang w:eastAsia="en-US"/>
        </w:rPr>
        <w:t>Art. 22 -</w:t>
      </w:r>
      <w:r>
        <w:rPr>
          <w:rFonts w:eastAsia="Calibri" w:cs="Arial" w:ascii="Arial" w:hAnsi="Arial"/>
          <w:sz w:val="24"/>
          <w:szCs w:val="24"/>
          <w:lang w:eastAsia="en-US"/>
        </w:rPr>
        <w:t xml:space="preserve"> A Mensagem de Encaminhamento da Proposta Orçamentária de que trata o art. 22, Parágrafo Único, inciso I da Lei 4.320/1964, conterá todos os Anexos exigidos na legislação vigente.</w:t>
      </w:r>
    </w:p>
    <w:p>
      <w:pPr>
        <w:pStyle w:val="Normal"/>
        <w:ind w:left="510" w:hanging="0"/>
        <w:jc w:val="both"/>
        <w:rPr>
          <w:rFonts w:ascii="Arial" w:hAnsi="Arial" w:cs="Arial"/>
          <w:b/>
          <w:bCs/>
          <w:sz w:val="24"/>
          <w:szCs w:val="24"/>
        </w:rPr>
      </w:pPr>
      <w:r>
        <w:rPr>
          <w:rFonts w:cs="Arial" w:ascii="Arial" w:hAnsi="Arial"/>
          <w:b/>
          <w:bCs/>
          <w:sz w:val="24"/>
          <w:szCs w:val="24"/>
        </w:rPr>
        <w:tab/>
      </w:r>
    </w:p>
    <w:p>
      <w:pPr>
        <w:pStyle w:val="Normal"/>
        <w:snapToGrid w:val="false"/>
        <w:ind w:left="510" w:hanging="0"/>
        <w:jc w:val="both"/>
        <w:rPr>
          <w:rFonts w:ascii="Arial" w:hAnsi="Arial" w:cs="Arial"/>
          <w:sz w:val="24"/>
          <w:szCs w:val="24"/>
        </w:rPr>
      </w:pPr>
      <w:r>
        <w:rPr>
          <w:rFonts w:cs="Arial" w:ascii="Arial" w:hAnsi="Arial"/>
          <w:b/>
          <w:bCs/>
          <w:sz w:val="24"/>
          <w:szCs w:val="24"/>
        </w:rPr>
        <w:t>Art. 23 -</w:t>
      </w:r>
      <w:r>
        <w:rPr>
          <w:rFonts w:cs="Arial" w:ascii="Arial" w:hAnsi="Arial"/>
          <w:sz w:val="24"/>
          <w:szCs w:val="24"/>
        </w:rPr>
        <w:t>O projeto de lei orçamentária anual será encaminhado ao Poder Legislativo, conforme estabelecido na Lei nº 4.320 de 17 de março de 1964, no art. 22 e seus incisos e parágrafo único, e será composto de:</w:t>
      </w:r>
    </w:p>
    <w:p>
      <w:pPr>
        <w:pStyle w:val="Normal"/>
        <w:tabs>
          <w:tab w:val="clear" w:pos="708"/>
          <w:tab w:val="left" w:pos="1440" w:leader="none"/>
          <w:tab w:val="left" w:pos="1620" w:leader="none"/>
        </w:tabs>
        <w:ind w:left="510" w:hanging="0"/>
        <w:rPr>
          <w:rFonts w:ascii="Arial" w:hAnsi="Arial" w:cs="Arial"/>
          <w:b/>
          <w:bCs/>
          <w:sz w:val="24"/>
          <w:szCs w:val="24"/>
        </w:rPr>
      </w:pPr>
      <w:r>
        <w:rPr>
          <w:rFonts w:cs="Arial" w:ascii="Arial" w:hAnsi="Arial"/>
          <w:b/>
          <w:bCs/>
          <w:sz w:val="24"/>
          <w:szCs w:val="24"/>
        </w:rPr>
      </w:r>
    </w:p>
    <w:p>
      <w:pPr>
        <w:pStyle w:val="Normal"/>
        <w:tabs>
          <w:tab w:val="clear" w:pos="708"/>
          <w:tab w:val="left" w:pos="1440" w:leader="none"/>
          <w:tab w:val="left" w:pos="1620" w:leader="none"/>
        </w:tabs>
        <w:ind w:left="510" w:hanging="0"/>
        <w:rPr>
          <w:rFonts w:ascii="Arial" w:hAnsi="Arial" w:cs="Arial"/>
          <w:sz w:val="24"/>
          <w:szCs w:val="24"/>
        </w:rPr>
      </w:pPr>
      <w:r>
        <w:rPr>
          <w:rFonts w:cs="Arial" w:ascii="Arial" w:hAnsi="Arial"/>
          <w:b/>
          <w:bCs/>
          <w:sz w:val="24"/>
          <w:szCs w:val="24"/>
        </w:rPr>
        <w:t>I -</w:t>
      </w:r>
      <w:r>
        <w:rPr>
          <w:rFonts w:cs="Arial" w:ascii="Arial" w:hAnsi="Arial"/>
          <w:sz w:val="24"/>
          <w:szCs w:val="24"/>
        </w:rPr>
        <w:t xml:space="preserve"> texto da lei;</w:t>
      </w:r>
    </w:p>
    <w:p>
      <w:pPr>
        <w:pStyle w:val="Normal"/>
        <w:tabs>
          <w:tab w:val="clear" w:pos="708"/>
          <w:tab w:val="left" w:pos="1440" w:leader="none"/>
          <w:tab w:val="left" w:pos="1620" w:leader="none"/>
        </w:tabs>
        <w:ind w:left="510" w:hanging="0"/>
        <w:rPr>
          <w:rFonts w:ascii="Arial" w:hAnsi="Arial" w:cs="Arial"/>
          <w:sz w:val="24"/>
          <w:szCs w:val="24"/>
        </w:rPr>
      </w:pPr>
      <w:r>
        <w:rPr>
          <w:rFonts w:cs="Arial" w:ascii="Arial" w:hAnsi="Arial"/>
          <w:sz w:val="24"/>
          <w:szCs w:val="24"/>
        </w:rPr>
      </w:r>
    </w:p>
    <w:p>
      <w:pPr>
        <w:pStyle w:val="Normal"/>
        <w:tabs>
          <w:tab w:val="clear" w:pos="708"/>
          <w:tab w:val="left" w:pos="1440" w:leader="none"/>
        </w:tabs>
        <w:ind w:left="510" w:hanging="0"/>
        <w:rPr>
          <w:rFonts w:ascii="Arial" w:hAnsi="Arial" w:cs="Arial"/>
          <w:sz w:val="24"/>
          <w:szCs w:val="24"/>
        </w:rPr>
      </w:pPr>
      <w:r>
        <w:rPr>
          <w:rFonts w:cs="Arial" w:ascii="Arial" w:hAnsi="Arial"/>
          <w:b/>
          <w:bCs/>
          <w:sz w:val="24"/>
          <w:szCs w:val="24"/>
        </w:rPr>
        <w:t xml:space="preserve">II </w:t>
      </w:r>
      <w:r>
        <w:rPr>
          <w:rFonts w:cs="Arial" w:ascii="Arial" w:hAnsi="Arial"/>
          <w:b/>
          <w:sz w:val="24"/>
          <w:szCs w:val="24"/>
        </w:rPr>
        <w:t>-</w:t>
      </w:r>
      <w:r>
        <w:rPr>
          <w:rFonts w:cs="Arial" w:ascii="Arial" w:hAnsi="Arial"/>
          <w:sz w:val="24"/>
          <w:szCs w:val="24"/>
        </w:rPr>
        <w:t xml:space="preserve"> consolidação dos quadros orçamentários;</w:t>
      </w:r>
    </w:p>
    <w:p>
      <w:pPr>
        <w:pStyle w:val="Normal"/>
        <w:tabs>
          <w:tab w:val="clear" w:pos="708"/>
          <w:tab w:val="left" w:pos="1440" w:leader="none"/>
        </w:tabs>
        <w:ind w:left="510" w:hanging="0"/>
        <w:rPr>
          <w:rFonts w:ascii="Arial" w:hAnsi="Arial" w:cs="Arial"/>
          <w:sz w:val="24"/>
          <w:szCs w:val="24"/>
        </w:rPr>
      </w:pPr>
      <w:r>
        <w:rPr>
          <w:rFonts w:cs="Arial" w:ascii="Arial" w:hAnsi="Arial"/>
          <w:sz w:val="24"/>
          <w:szCs w:val="24"/>
        </w:rPr>
      </w:r>
    </w:p>
    <w:p>
      <w:pPr>
        <w:pStyle w:val="Normal"/>
        <w:tabs>
          <w:tab w:val="clear" w:pos="708"/>
          <w:tab w:val="left" w:pos="1440" w:leader="none"/>
        </w:tabs>
        <w:ind w:left="510" w:hanging="540"/>
        <w:jc w:val="both"/>
        <w:rPr>
          <w:rFonts w:ascii="Arial" w:hAnsi="Arial" w:cs="Arial"/>
          <w:sz w:val="24"/>
          <w:szCs w:val="24"/>
        </w:rPr>
      </w:pPr>
      <w:r>
        <w:rPr>
          <w:rFonts w:cs="Arial" w:ascii="Arial" w:hAnsi="Arial"/>
          <w:b/>
          <w:bCs/>
          <w:sz w:val="24"/>
          <w:szCs w:val="24"/>
        </w:rPr>
        <w:t>III -</w:t>
      </w:r>
      <w:r>
        <w:rPr>
          <w:rFonts w:cs="Arial" w:ascii="Arial" w:hAnsi="Arial"/>
          <w:sz w:val="24"/>
          <w:szCs w:val="24"/>
        </w:rPr>
        <w:t xml:space="preserve"> anexo dos orçamentos fiscal e da seguridade social, discriminando a receita e a despesa na forma definida nesta Lei;</w:t>
      </w:r>
    </w:p>
    <w:p>
      <w:pPr>
        <w:pStyle w:val="Normal"/>
        <w:tabs>
          <w:tab w:val="clear" w:pos="708"/>
          <w:tab w:val="left" w:pos="1440" w:leader="none"/>
        </w:tabs>
        <w:ind w:left="510" w:hanging="540"/>
        <w:jc w:val="both"/>
        <w:rPr>
          <w:rFonts w:ascii="Arial" w:hAnsi="Arial" w:cs="Arial"/>
          <w:sz w:val="24"/>
          <w:szCs w:val="24"/>
        </w:rPr>
      </w:pPr>
      <w:r>
        <w:rPr>
          <w:rFonts w:cs="Arial" w:ascii="Arial" w:hAnsi="Arial"/>
          <w:sz w:val="24"/>
          <w:szCs w:val="24"/>
        </w:rPr>
      </w:r>
    </w:p>
    <w:p>
      <w:pPr>
        <w:pStyle w:val="Normal"/>
        <w:tabs>
          <w:tab w:val="clear" w:pos="708"/>
          <w:tab w:val="left" w:pos="3474" w:leader="none"/>
        </w:tabs>
        <w:snapToGrid w:val="false"/>
        <w:ind w:left="510" w:hanging="0"/>
        <w:jc w:val="both"/>
        <w:rPr>
          <w:rFonts w:ascii="Arial" w:hAnsi="Arial" w:cs="Arial"/>
          <w:b/>
          <w:bCs/>
          <w:sz w:val="24"/>
          <w:szCs w:val="24"/>
        </w:rPr>
      </w:pPr>
      <w:r>
        <w:rPr>
          <w:rFonts w:cs="Arial" w:ascii="Arial" w:hAnsi="Arial"/>
          <w:b/>
          <w:bCs/>
          <w:sz w:val="24"/>
          <w:szCs w:val="24"/>
        </w:rPr>
      </w:r>
    </w:p>
    <w:p>
      <w:pPr>
        <w:pStyle w:val="Normal"/>
        <w:tabs>
          <w:tab w:val="clear" w:pos="708"/>
          <w:tab w:val="left" w:pos="3474" w:leader="none"/>
        </w:tabs>
        <w:snapToGrid w:val="false"/>
        <w:ind w:left="510" w:hanging="0"/>
        <w:jc w:val="both"/>
        <w:rPr>
          <w:rFonts w:ascii="Arial" w:hAnsi="Arial" w:cs="Arial"/>
          <w:sz w:val="24"/>
          <w:szCs w:val="24"/>
        </w:rPr>
      </w:pPr>
      <w:r>
        <w:rPr>
          <w:rFonts w:cs="Arial" w:ascii="Arial" w:hAnsi="Arial"/>
          <w:b/>
          <w:bCs/>
          <w:sz w:val="24"/>
          <w:szCs w:val="24"/>
        </w:rPr>
        <w:t xml:space="preserve">  </w:t>
      </w:r>
      <w:r>
        <w:rPr>
          <w:rFonts w:cs="Arial" w:ascii="Arial" w:hAnsi="Arial"/>
          <w:b/>
          <w:bCs/>
          <w:sz w:val="24"/>
          <w:szCs w:val="24"/>
        </w:rPr>
        <w:t>§ 1</w:t>
      </w:r>
      <w:r>
        <w:rPr>
          <w:rFonts w:cs="Arial" w:ascii="Arial" w:hAnsi="Arial"/>
          <w:b/>
          <w:bCs/>
          <w:sz w:val="24"/>
          <w:szCs w:val="24"/>
          <w:vertAlign w:val="superscript"/>
        </w:rPr>
        <w:t>o</w:t>
      </w:r>
      <w:r>
        <w:rPr>
          <w:rFonts w:cs="Arial" w:ascii="Arial" w:hAnsi="Arial"/>
          <w:sz w:val="24"/>
          <w:szCs w:val="24"/>
        </w:rPr>
        <w:t xml:space="preserve"> - Integrarão a consolidação dos quadros orçamentários a que se refere o inciso II deste artigo, incluindo os complementos referenciados no art. 22, incisos III, IV, e parágrafo único da Lei nº 4.320/64, os seguintes demonstrativos:</w:t>
      </w:r>
    </w:p>
    <w:p>
      <w:pPr>
        <w:pStyle w:val="Normal"/>
        <w:tabs>
          <w:tab w:val="clear" w:pos="708"/>
          <w:tab w:val="left" w:pos="3474" w:leader="none"/>
        </w:tabs>
        <w:snapToGrid w:val="false"/>
        <w:ind w:left="510" w:hanging="0"/>
        <w:jc w:val="both"/>
        <w:rPr>
          <w:rFonts w:ascii="Arial" w:hAnsi="Arial" w:cs="Arial"/>
          <w:sz w:val="24"/>
          <w:szCs w:val="24"/>
        </w:rPr>
      </w:pPr>
      <w:r>
        <w:rPr>
          <w:rFonts w:cs="Arial" w:ascii="Arial" w:hAnsi="Arial"/>
          <w:sz w:val="24"/>
          <w:szCs w:val="24"/>
        </w:rPr>
      </w:r>
    </w:p>
    <w:p>
      <w:pPr>
        <w:pStyle w:val="Normal"/>
        <w:ind w:left="510" w:hanging="0"/>
        <w:jc w:val="both"/>
        <w:rPr>
          <w:rFonts w:ascii="Arial" w:hAnsi="Arial" w:cs="Arial"/>
          <w:sz w:val="24"/>
          <w:szCs w:val="24"/>
        </w:rPr>
      </w:pPr>
      <w:r>
        <w:rPr>
          <w:rFonts w:cs="Arial" w:ascii="Arial" w:hAnsi="Arial"/>
          <w:b/>
          <w:bCs/>
          <w:sz w:val="24"/>
          <w:szCs w:val="24"/>
        </w:rPr>
        <w:t xml:space="preserve">I </w:t>
      </w:r>
      <w:r>
        <w:rPr>
          <w:rFonts w:cs="Arial" w:ascii="Arial" w:hAnsi="Arial"/>
          <w:b/>
          <w:sz w:val="24"/>
          <w:szCs w:val="24"/>
        </w:rPr>
        <w:t>–</w:t>
      </w:r>
      <w:r>
        <w:rPr>
          <w:rFonts w:cs="Arial" w:ascii="Arial" w:hAnsi="Arial"/>
          <w:sz w:val="24"/>
          <w:szCs w:val="24"/>
        </w:rPr>
        <w:t xml:space="preserve"> do resumo da estimativa da receita total do município, por categoria econômica e segundo a origem dos recursos;</w:t>
      </w:r>
    </w:p>
    <w:p>
      <w:pPr>
        <w:pStyle w:val="Normal"/>
        <w:ind w:left="510" w:hanging="0"/>
        <w:jc w:val="both"/>
        <w:rPr>
          <w:rFonts w:ascii="Arial" w:hAnsi="Arial" w:cs="Arial"/>
          <w:sz w:val="24"/>
          <w:szCs w:val="24"/>
        </w:rPr>
      </w:pPr>
      <w:r>
        <w:rPr>
          <w:rFonts w:cs="Arial" w:ascii="Arial" w:hAnsi="Arial"/>
          <w:sz w:val="24"/>
          <w:szCs w:val="24"/>
        </w:rPr>
      </w:r>
    </w:p>
    <w:p>
      <w:pPr>
        <w:pStyle w:val="Normal"/>
        <w:ind w:left="510" w:hanging="0"/>
        <w:jc w:val="both"/>
        <w:rPr>
          <w:rFonts w:ascii="Arial" w:hAnsi="Arial" w:cs="Arial"/>
          <w:sz w:val="24"/>
          <w:szCs w:val="24"/>
        </w:rPr>
      </w:pPr>
      <w:r>
        <w:rPr>
          <w:rFonts w:cs="Arial" w:ascii="Arial" w:hAnsi="Arial"/>
          <w:b/>
          <w:bCs/>
          <w:sz w:val="24"/>
          <w:szCs w:val="24"/>
        </w:rPr>
        <w:t>II –</w:t>
      </w:r>
      <w:r>
        <w:rPr>
          <w:rFonts w:cs="Arial" w:ascii="Arial" w:hAnsi="Arial"/>
          <w:sz w:val="24"/>
          <w:szCs w:val="24"/>
        </w:rPr>
        <w:t xml:space="preserve"> do resumo da estimativa da receita total do Município, por rubrica e categoria econômica e segundo a origem dos recursos;</w:t>
      </w:r>
    </w:p>
    <w:p>
      <w:pPr>
        <w:pStyle w:val="Normal"/>
        <w:ind w:left="510" w:hanging="0"/>
        <w:jc w:val="both"/>
        <w:rPr>
          <w:rFonts w:ascii="Arial" w:hAnsi="Arial" w:cs="Arial"/>
          <w:sz w:val="24"/>
          <w:szCs w:val="24"/>
        </w:rPr>
      </w:pPr>
      <w:r>
        <w:rPr>
          <w:rFonts w:cs="Arial" w:ascii="Arial" w:hAnsi="Arial"/>
          <w:sz w:val="24"/>
          <w:szCs w:val="24"/>
        </w:rPr>
      </w:r>
    </w:p>
    <w:p>
      <w:pPr>
        <w:pStyle w:val="Normal"/>
        <w:tabs>
          <w:tab w:val="clear" w:pos="708"/>
          <w:tab w:val="left" w:pos="2160" w:leader="none"/>
        </w:tabs>
        <w:ind w:left="510" w:hanging="0"/>
        <w:jc w:val="both"/>
        <w:rPr>
          <w:rFonts w:ascii="Arial" w:hAnsi="Arial" w:cs="Arial"/>
          <w:sz w:val="24"/>
          <w:szCs w:val="24"/>
        </w:rPr>
      </w:pPr>
      <w:r>
        <w:rPr>
          <w:rFonts w:cs="Arial" w:ascii="Arial" w:hAnsi="Arial"/>
          <w:b/>
          <w:bCs/>
          <w:sz w:val="24"/>
          <w:szCs w:val="24"/>
        </w:rPr>
        <w:t>III -</w:t>
      </w:r>
      <w:r>
        <w:rPr>
          <w:rFonts w:cs="Arial" w:ascii="Arial" w:hAnsi="Arial"/>
          <w:sz w:val="24"/>
          <w:szCs w:val="24"/>
        </w:rPr>
        <w:t>do resumo da Despesa por categoria econômica, grupos de Despesa e Modalidade de Aplicação;</w:t>
      </w:r>
    </w:p>
    <w:p>
      <w:pPr>
        <w:pStyle w:val="Normal"/>
        <w:tabs>
          <w:tab w:val="clear" w:pos="708"/>
          <w:tab w:val="left" w:pos="2160" w:leader="none"/>
        </w:tabs>
        <w:ind w:left="510" w:hanging="0"/>
        <w:jc w:val="both"/>
        <w:rPr>
          <w:rFonts w:ascii="Arial" w:hAnsi="Arial" w:cs="Arial"/>
          <w:sz w:val="24"/>
          <w:szCs w:val="24"/>
        </w:rPr>
      </w:pPr>
      <w:r>
        <w:rPr>
          <w:rFonts w:cs="Arial" w:ascii="Arial" w:hAnsi="Arial"/>
          <w:sz w:val="24"/>
          <w:szCs w:val="24"/>
        </w:rPr>
      </w:r>
    </w:p>
    <w:p>
      <w:pPr>
        <w:pStyle w:val="Normal"/>
        <w:tabs>
          <w:tab w:val="clear" w:pos="708"/>
          <w:tab w:val="left" w:pos="2160" w:leader="none"/>
        </w:tabs>
        <w:ind w:left="510" w:hanging="540"/>
        <w:jc w:val="both"/>
        <w:rPr>
          <w:rFonts w:ascii="Arial" w:hAnsi="Arial" w:cs="Arial"/>
          <w:sz w:val="24"/>
          <w:szCs w:val="24"/>
        </w:rPr>
      </w:pPr>
      <w:r>
        <w:rPr>
          <w:rFonts w:cs="Arial" w:ascii="Arial" w:hAnsi="Arial"/>
          <w:b/>
          <w:bCs/>
          <w:sz w:val="24"/>
          <w:szCs w:val="24"/>
        </w:rPr>
        <w:t>IV –</w:t>
      </w:r>
      <w:r>
        <w:rPr>
          <w:rFonts w:cs="Arial" w:ascii="Arial" w:hAnsi="Arial"/>
          <w:sz w:val="24"/>
          <w:szCs w:val="24"/>
        </w:rPr>
        <w:t xml:space="preserve"> da fixação da despesa do Município por função e segundo a origem dos recursos;</w:t>
      </w:r>
    </w:p>
    <w:p>
      <w:pPr>
        <w:pStyle w:val="Normal"/>
        <w:tabs>
          <w:tab w:val="clear" w:pos="708"/>
          <w:tab w:val="left" w:pos="2160" w:leader="none"/>
        </w:tabs>
        <w:ind w:left="510" w:hanging="540"/>
        <w:jc w:val="both"/>
        <w:rPr>
          <w:rFonts w:ascii="Arial" w:hAnsi="Arial" w:cs="Arial"/>
          <w:sz w:val="24"/>
          <w:szCs w:val="24"/>
        </w:rPr>
      </w:pPr>
      <w:r>
        <w:rPr>
          <w:rFonts w:cs="Arial" w:ascii="Arial" w:hAnsi="Arial"/>
          <w:sz w:val="24"/>
          <w:szCs w:val="24"/>
        </w:rPr>
      </w:r>
    </w:p>
    <w:p>
      <w:pPr>
        <w:pStyle w:val="Normal"/>
        <w:tabs>
          <w:tab w:val="clear" w:pos="708"/>
          <w:tab w:val="left" w:pos="2340" w:leader="none"/>
        </w:tabs>
        <w:ind w:left="510" w:hanging="0"/>
        <w:jc w:val="both"/>
        <w:rPr>
          <w:rFonts w:ascii="Arial" w:hAnsi="Arial" w:cs="Arial"/>
          <w:sz w:val="24"/>
          <w:szCs w:val="24"/>
        </w:rPr>
      </w:pPr>
      <w:r>
        <w:rPr>
          <w:rFonts w:cs="Arial" w:ascii="Arial" w:hAnsi="Arial"/>
          <w:b/>
          <w:bCs/>
          <w:sz w:val="24"/>
          <w:szCs w:val="24"/>
        </w:rPr>
        <w:t>V –</w:t>
      </w:r>
      <w:r>
        <w:rPr>
          <w:rFonts w:cs="Arial" w:ascii="Arial" w:hAnsi="Arial"/>
          <w:sz w:val="24"/>
          <w:szCs w:val="24"/>
        </w:rPr>
        <w:t xml:space="preserve"> da fixação da despesa do Município por poderes e órgãos e segundo a origem dos recursos</w:t>
      </w:r>
    </w:p>
    <w:p>
      <w:pPr>
        <w:pStyle w:val="Normal"/>
        <w:tabs>
          <w:tab w:val="clear" w:pos="708"/>
          <w:tab w:val="left" w:pos="2340" w:leader="none"/>
        </w:tabs>
        <w:ind w:left="510" w:hanging="0"/>
        <w:jc w:val="both"/>
        <w:rPr>
          <w:rFonts w:ascii="Arial" w:hAnsi="Arial" w:cs="Arial"/>
          <w:sz w:val="24"/>
          <w:szCs w:val="24"/>
        </w:rPr>
      </w:pPr>
      <w:r>
        <w:rPr>
          <w:rFonts w:cs="Arial" w:ascii="Arial" w:hAnsi="Arial"/>
          <w:sz w:val="24"/>
          <w:szCs w:val="24"/>
        </w:rPr>
      </w:r>
    </w:p>
    <w:p>
      <w:pPr>
        <w:pStyle w:val="Normal"/>
        <w:tabs>
          <w:tab w:val="clear" w:pos="708"/>
          <w:tab w:val="left" w:pos="2340" w:leader="none"/>
        </w:tabs>
        <w:ind w:left="510" w:hanging="540"/>
        <w:jc w:val="both"/>
        <w:rPr>
          <w:rFonts w:ascii="Arial" w:hAnsi="Arial" w:cs="Arial"/>
          <w:sz w:val="24"/>
          <w:szCs w:val="24"/>
        </w:rPr>
      </w:pPr>
      <w:r>
        <w:rPr>
          <w:rFonts w:cs="Arial" w:ascii="Arial" w:hAnsi="Arial"/>
          <w:b/>
          <w:bCs/>
          <w:sz w:val="24"/>
          <w:szCs w:val="24"/>
        </w:rPr>
        <w:t>VI -</w:t>
      </w:r>
      <w:r>
        <w:rPr>
          <w:rFonts w:cs="Arial" w:ascii="Arial" w:hAnsi="Arial"/>
          <w:sz w:val="24"/>
          <w:szCs w:val="24"/>
        </w:rPr>
        <w:t xml:space="preserve"> da receita prevista para o exercício em que se elabora a proposta;</w:t>
      </w:r>
    </w:p>
    <w:p>
      <w:pPr>
        <w:pStyle w:val="Normal"/>
        <w:tabs>
          <w:tab w:val="clear" w:pos="708"/>
          <w:tab w:val="left" w:pos="2340" w:leader="none"/>
        </w:tabs>
        <w:ind w:left="510" w:hanging="540"/>
        <w:jc w:val="both"/>
        <w:rPr>
          <w:rFonts w:ascii="Arial" w:hAnsi="Arial" w:cs="Arial"/>
          <w:sz w:val="24"/>
          <w:szCs w:val="24"/>
        </w:rPr>
      </w:pPr>
      <w:r>
        <w:rPr>
          <w:rFonts w:cs="Arial" w:ascii="Arial" w:hAnsi="Arial"/>
          <w:sz w:val="24"/>
          <w:szCs w:val="24"/>
        </w:rPr>
      </w:r>
    </w:p>
    <w:p>
      <w:pPr>
        <w:pStyle w:val="Normal"/>
        <w:tabs>
          <w:tab w:val="clear" w:pos="708"/>
          <w:tab w:val="left" w:pos="2340" w:leader="none"/>
        </w:tabs>
        <w:ind w:left="510" w:hanging="0"/>
        <w:jc w:val="both"/>
        <w:rPr>
          <w:rFonts w:ascii="Arial" w:hAnsi="Arial" w:cs="Arial"/>
          <w:sz w:val="24"/>
          <w:szCs w:val="24"/>
        </w:rPr>
      </w:pPr>
      <w:r>
        <w:rPr>
          <w:rFonts w:cs="Arial" w:ascii="Arial" w:hAnsi="Arial"/>
          <w:b/>
          <w:bCs/>
          <w:sz w:val="24"/>
          <w:szCs w:val="24"/>
        </w:rPr>
        <w:t>VII –</w:t>
      </w:r>
      <w:r>
        <w:rPr>
          <w:rFonts w:cs="Arial" w:ascii="Arial" w:hAnsi="Arial"/>
          <w:sz w:val="24"/>
          <w:szCs w:val="24"/>
        </w:rPr>
        <w:t xml:space="preserve"> da receita prevista para o exercício a que se refere à proposta;</w:t>
      </w:r>
    </w:p>
    <w:p>
      <w:pPr>
        <w:pStyle w:val="Normal"/>
        <w:tabs>
          <w:tab w:val="clear" w:pos="708"/>
          <w:tab w:val="left" w:pos="2340" w:leader="none"/>
        </w:tabs>
        <w:ind w:left="510" w:hanging="0"/>
        <w:jc w:val="both"/>
        <w:rPr>
          <w:rFonts w:ascii="Arial" w:hAnsi="Arial" w:cs="Arial"/>
          <w:sz w:val="24"/>
          <w:szCs w:val="24"/>
        </w:rPr>
      </w:pPr>
      <w:r>
        <w:rPr>
          <w:rFonts w:cs="Arial" w:ascii="Arial" w:hAnsi="Arial"/>
          <w:sz w:val="24"/>
          <w:szCs w:val="24"/>
        </w:rPr>
      </w:r>
    </w:p>
    <w:p>
      <w:pPr>
        <w:pStyle w:val="Normal"/>
        <w:tabs>
          <w:tab w:val="clear" w:pos="708"/>
          <w:tab w:val="left" w:pos="2340" w:leader="none"/>
        </w:tabs>
        <w:ind w:left="510" w:hanging="0"/>
        <w:jc w:val="both"/>
        <w:rPr>
          <w:rFonts w:ascii="Arial" w:hAnsi="Arial" w:cs="Arial"/>
          <w:sz w:val="24"/>
          <w:szCs w:val="24"/>
        </w:rPr>
      </w:pPr>
      <w:r>
        <w:rPr>
          <w:rFonts w:cs="Arial" w:ascii="Arial" w:hAnsi="Arial"/>
          <w:b/>
          <w:bCs/>
          <w:sz w:val="24"/>
          <w:szCs w:val="24"/>
        </w:rPr>
        <w:t>VIII –</w:t>
      </w:r>
      <w:r>
        <w:rPr>
          <w:rFonts w:cs="Arial" w:ascii="Arial" w:hAnsi="Arial"/>
          <w:sz w:val="24"/>
          <w:szCs w:val="24"/>
        </w:rPr>
        <w:t xml:space="preserve"> da despesa realizada no exercício imediatamente anterior;</w:t>
      </w:r>
    </w:p>
    <w:p>
      <w:pPr>
        <w:pStyle w:val="Normal"/>
        <w:tabs>
          <w:tab w:val="clear" w:pos="708"/>
          <w:tab w:val="left" w:pos="2340" w:leader="none"/>
        </w:tabs>
        <w:ind w:left="510" w:hanging="0"/>
        <w:jc w:val="both"/>
        <w:rPr>
          <w:rFonts w:ascii="Arial" w:hAnsi="Arial" w:cs="Arial"/>
          <w:sz w:val="24"/>
          <w:szCs w:val="24"/>
        </w:rPr>
      </w:pPr>
      <w:r>
        <w:rPr>
          <w:rFonts w:cs="Arial" w:ascii="Arial" w:hAnsi="Arial"/>
          <w:sz w:val="24"/>
          <w:szCs w:val="24"/>
        </w:rPr>
      </w:r>
    </w:p>
    <w:p>
      <w:pPr>
        <w:pStyle w:val="Normal"/>
        <w:tabs>
          <w:tab w:val="clear" w:pos="708"/>
          <w:tab w:val="left" w:pos="1440" w:leader="none"/>
        </w:tabs>
        <w:ind w:left="510" w:hanging="540"/>
        <w:jc w:val="both"/>
        <w:rPr>
          <w:rFonts w:ascii="Arial" w:hAnsi="Arial" w:cs="Arial"/>
          <w:sz w:val="24"/>
          <w:szCs w:val="24"/>
        </w:rPr>
      </w:pPr>
      <w:r>
        <w:rPr>
          <w:rFonts w:cs="Arial" w:ascii="Arial" w:hAnsi="Arial"/>
          <w:b/>
          <w:bCs/>
          <w:sz w:val="24"/>
          <w:szCs w:val="24"/>
        </w:rPr>
        <w:t xml:space="preserve">IX </w:t>
      </w:r>
      <w:r>
        <w:rPr>
          <w:rFonts w:cs="Arial" w:ascii="Arial" w:hAnsi="Arial"/>
          <w:b/>
          <w:sz w:val="24"/>
          <w:szCs w:val="24"/>
        </w:rPr>
        <w:t>–</w:t>
      </w:r>
      <w:r>
        <w:rPr>
          <w:rFonts w:cs="Arial" w:ascii="Arial" w:hAnsi="Arial"/>
          <w:sz w:val="24"/>
          <w:szCs w:val="24"/>
        </w:rPr>
        <w:t xml:space="preserve"> da despesa fixada para o exercício em que se elabora a proposta;</w:t>
      </w:r>
    </w:p>
    <w:p>
      <w:pPr>
        <w:pStyle w:val="Normal"/>
        <w:tabs>
          <w:tab w:val="clear" w:pos="708"/>
          <w:tab w:val="left" w:pos="1440" w:leader="none"/>
        </w:tabs>
        <w:ind w:left="510" w:hanging="540"/>
        <w:jc w:val="both"/>
        <w:rPr>
          <w:rFonts w:ascii="Arial" w:hAnsi="Arial" w:cs="Arial"/>
          <w:sz w:val="24"/>
          <w:szCs w:val="24"/>
        </w:rPr>
      </w:pPr>
      <w:r>
        <w:rPr>
          <w:rFonts w:cs="Arial" w:ascii="Arial" w:hAnsi="Arial"/>
          <w:sz w:val="24"/>
          <w:szCs w:val="24"/>
        </w:rPr>
      </w:r>
    </w:p>
    <w:p>
      <w:pPr>
        <w:pStyle w:val="Normal"/>
        <w:tabs>
          <w:tab w:val="clear" w:pos="708"/>
          <w:tab w:val="left" w:pos="2340" w:leader="none"/>
        </w:tabs>
        <w:ind w:left="510" w:hanging="0"/>
        <w:jc w:val="both"/>
        <w:rPr>
          <w:rFonts w:ascii="Arial" w:hAnsi="Arial" w:cs="Arial"/>
          <w:sz w:val="24"/>
          <w:szCs w:val="24"/>
        </w:rPr>
      </w:pPr>
      <w:r>
        <w:rPr>
          <w:rFonts w:cs="Arial" w:ascii="Arial" w:hAnsi="Arial"/>
          <w:b/>
          <w:bCs/>
          <w:sz w:val="24"/>
          <w:szCs w:val="24"/>
        </w:rPr>
        <w:t>X –</w:t>
      </w:r>
      <w:r>
        <w:rPr>
          <w:rFonts w:cs="Arial" w:ascii="Arial" w:hAnsi="Arial"/>
          <w:sz w:val="24"/>
          <w:szCs w:val="24"/>
        </w:rPr>
        <w:t xml:space="preserve"> da despesa fixada para o exercício a que se refere à proposta;</w:t>
      </w:r>
    </w:p>
    <w:p>
      <w:pPr>
        <w:pStyle w:val="Normal"/>
        <w:tabs>
          <w:tab w:val="clear" w:pos="708"/>
          <w:tab w:val="left" w:pos="2340" w:leader="none"/>
        </w:tabs>
        <w:ind w:left="510" w:hanging="0"/>
        <w:jc w:val="both"/>
        <w:rPr>
          <w:rFonts w:ascii="Arial" w:hAnsi="Arial" w:cs="Arial"/>
          <w:sz w:val="24"/>
          <w:szCs w:val="24"/>
        </w:rPr>
      </w:pPr>
      <w:r>
        <w:rPr>
          <w:rFonts w:cs="Arial" w:ascii="Arial" w:hAnsi="Arial"/>
          <w:sz w:val="24"/>
          <w:szCs w:val="24"/>
        </w:rPr>
      </w:r>
    </w:p>
    <w:p>
      <w:pPr>
        <w:pStyle w:val="Normal"/>
        <w:tabs>
          <w:tab w:val="clear" w:pos="708"/>
          <w:tab w:val="left" w:pos="1440" w:leader="none"/>
        </w:tabs>
        <w:ind w:left="510" w:hanging="540"/>
        <w:jc w:val="both"/>
        <w:rPr>
          <w:rFonts w:ascii="Arial" w:hAnsi="Arial" w:cs="Arial"/>
          <w:sz w:val="24"/>
          <w:szCs w:val="24"/>
        </w:rPr>
      </w:pPr>
      <w:r>
        <w:rPr>
          <w:rFonts w:cs="Arial" w:ascii="Arial" w:hAnsi="Arial"/>
          <w:b/>
          <w:bCs/>
          <w:sz w:val="24"/>
          <w:szCs w:val="24"/>
        </w:rPr>
        <w:t>XI -</w:t>
      </w:r>
      <w:r>
        <w:rPr>
          <w:rFonts w:cs="Arial" w:ascii="Arial" w:hAnsi="Arial"/>
          <w:sz w:val="24"/>
          <w:szCs w:val="24"/>
        </w:rPr>
        <w:t xml:space="preserve"> da estimativa da receita dos orçamentos fiscal e da seguridade social, isolada e conjuntamente, por categoria econômica e origem dos recursos;</w:t>
      </w:r>
    </w:p>
    <w:p>
      <w:pPr>
        <w:pStyle w:val="Normal"/>
        <w:tabs>
          <w:tab w:val="clear" w:pos="708"/>
          <w:tab w:val="left" w:pos="1440" w:leader="none"/>
        </w:tabs>
        <w:ind w:left="510" w:hanging="540"/>
        <w:jc w:val="both"/>
        <w:rPr>
          <w:rFonts w:ascii="Arial" w:hAnsi="Arial" w:cs="Arial"/>
          <w:sz w:val="24"/>
          <w:szCs w:val="24"/>
        </w:rPr>
      </w:pPr>
      <w:r>
        <w:rPr>
          <w:rFonts w:cs="Arial" w:ascii="Arial" w:hAnsi="Arial"/>
          <w:sz w:val="24"/>
          <w:szCs w:val="24"/>
        </w:rPr>
      </w:r>
    </w:p>
    <w:p>
      <w:pPr>
        <w:pStyle w:val="Normal"/>
        <w:tabs>
          <w:tab w:val="clear" w:pos="708"/>
          <w:tab w:val="left" w:pos="2340" w:leader="none"/>
        </w:tabs>
        <w:ind w:left="510" w:hanging="0"/>
        <w:jc w:val="both"/>
        <w:rPr>
          <w:rFonts w:ascii="Arial" w:hAnsi="Arial" w:cs="Arial"/>
          <w:sz w:val="24"/>
          <w:szCs w:val="24"/>
        </w:rPr>
      </w:pPr>
      <w:r>
        <w:rPr>
          <w:rFonts w:cs="Arial" w:ascii="Arial" w:hAnsi="Arial"/>
          <w:b/>
          <w:bCs/>
          <w:sz w:val="24"/>
          <w:szCs w:val="24"/>
        </w:rPr>
        <w:t>XII –</w:t>
      </w:r>
      <w:r>
        <w:rPr>
          <w:rFonts w:cs="Arial" w:ascii="Arial" w:hAnsi="Arial"/>
          <w:sz w:val="24"/>
          <w:szCs w:val="24"/>
        </w:rPr>
        <w:t xml:space="preserve"> do resumo geral da despesa dos orçamentos fiscal e da seguridade social, isolada e conjuntamente, por categoria econômica, segundo a origem dos recursos;</w:t>
      </w:r>
    </w:p>
    <w:p>
      <w:pPr>
        <w:pStyle w:val="Normal"/>
        <w:tabs>
          <w:tab w:val="clear" w:pos="708"/>
          <w:tab w:val="left" w:pos="2340" w:leader="none"/>
        </w:tabs>
        <w:ind w:left="510" w:hanging="0"/>
        <w:jc w:val="both"/>
        <w:rPr>
          <w:rFonts w:ascii="Arial" w:hAnsi="Arial" w:cs="Arial"/>
          <w:sz w:val="24"/>
          <w:szCs w:val="24"/>
        </w:rPr>
      </w:pPr>
      <w:r>
        <w:rPr>
          <w:rFonts w:cs="Arial" w:ascii="Arial" w:hAnsi="Arial"/>
          <w:sz w:val="24"/>
          <w:szCs w:val="24"/>
        </w:rPr>
      </w:r>
    </w:p>
    <w:p>
      <w:pPr>
        <w:pStyle w:val="Normal"/>
        <w:snapToGrid w:val="false"/>
        <w:ind w:left="510" w:hanging="0"/>
        <w:jc w:val="both"/>
        <w:rPr>
          <w:rFonts w:ascii="Arial" w:hAnsi="Arial" w:cs="Arial"/>
          <w:sz w:val="24"/>
          <w:szCs w:val="24"/>
        </w:rPr>
      </w:pPr>
      <w:r>
        <w:rPr>
          <w:rFonts w:cs="Arial" w:ascii="Arial" w:hAnsi="Arial"/>
          <w:b/>
          <w:bCs/>
          <w:sz w:val="24"/>
          <w:szCs w:val="24"/>
        </w:rPr>
        <w:t>XIII -</w:t>
      </w:r>
      <w:r>
        <w:rPr>
          <w:rFonts w:cs="Arial" w:ascii="Arial" w:hAnsi="Arial"/>
          <w:sz w:val="24"/>
          <w:szCs w:val="24"/>
        </w:rPr>
        <w:t xml:space="preserve"> das despesas e receitas dos orçamentos fiscal e da seguridade social, isolada e conjuntamente;</w:t>
      </w:r>
    </w:p>
    <w:p>
      <w:pPr>
        <w:pStyle w:val="Normal"/>
        <w:snapToGrid w:val="false"/>
        <w:ind w:left="510" w:hanging="0"/>
        <w:jc w:val="both"/>
        <w:rPr>
          <w:rFonts w:ascii="Arial" w:hAnsi="Arial" w:cs="Arial"/>
          <w:sz w:val="24"/>
          <w:szCs w:val="24"/>
        </w:rPr>
      </w:pPr>
      <w:r>
        <w:rPr>
          <w:rFonts w:cs="Arial" w:ascii="Arial" w:hAnsi="Arial"/>
          <w:sz w:val="24"/>
          <w:szCs w:val="24"/>
        </w:rPr>
      </w:r>
    </w:p>
    <w:p>
      <w:pPr>
        <w:pStyle w:val="Normal"/>
        <w:snapToGrid w:val="false"/>
        <w:ind w:left="510" w:hanging="0"/>
        <w:jc w:val="both"/>
        <w:rPr>
          <w:rFonts w:ascii="Arial" w:hAnsi="Arial" w:cs="Arial"/>
          <w:sz w:val="24"/>
          <w:szCs w:val="24"/>
        </w:rPr>
      </w:pPr>
      <w:r>
        <w:rPr>
          <w:rFonts w:cs="Arial" w:ascii="Arial" w:hAnsi="Arial"/>
          <w:b/>
          <w:bCs/>
          <w:sz w:val="24"/>
          <w:szCs w:val="24"/>
        </w:rPr>
        <w:t>XIV -</w:t>
      </w:r>
      <w:r>
        <w:rPr>
          <w:rFonts w:cs="Arial" w:ascii="Arial" w:hAnsi="Arial"/>
          <w:sz w:val="24"/>
          <w:szCs w:val="24"/>
        </w:rPr>
        <w:t xml:space="preserve"> da distribuição da receita e da despesa por função de governo dos orçamentos fiscal e da seguridade social, isolada e conjuntamente;</w:t>
      </w:r>
    </w:p>
    <w:p>
      <w:pPr>
        <w:pStyle w:val="Normal"/>
        <w:snapToGrid w:val="false"/>
        <w:ind w:left="510" w:hanging="0"/>
        <w:jc w:val="both"/>
        <w:rPr>
          <w:rFonts w:ascii="Arial" w:hAnsi="Arial" w:cs="Arial"/>
          <w:sz w:val="24"/>
          <w:szCs w:val="24"/>
        </w:rPr>
      </w:pPr>
      <w:r>
        <w:rPr>
          <w:rFonts w:cs="Arial" w:ascii="Arial" w:hAnsi="Arial"/>
          <w:sz w:val="24"/>
          <w:szCs w:val="24"/>
        </w:rPr>
      </w:r>
    </w:p>
    <w:p>
      <w:pPr>
        <w:pStyle w:val="Normal"/>
        <w:snapToGrid w:val="false"/>
        <w:ind w:left="510" w:hanging="0"/>
        <w:jc w:val="both"/>
        <w:rPr>
          <w:rFonts w:ascii="Arial" w:hAnsi="Arial" w:cs="Arial"/>
          <w:sz w:val="24"/>
          <w:szCs w:val="24"/>
        </w:rPr>
      </w:pPr>
      <w:r>
        <w:rPr>
          <w:rFonts w:cs="Arial" w:ascii="Arial" w:hAnsi="Arial"/>
          <w:b/>
          <w:bCs/>
          <w:sz w:val="24"/>
          <w:szCs w:val="24"/>
        </w:rPr>
        <w:t>XV –</w:t>
      </w:r>
      <w:r>
        <w:rPr>
          <w:rFonts w:cs="Arial" w:ascii="Arial" w:hAnsi="Arial"/>
          <w:sz w:val="24"/>
          <w:szCs w:val="24"/>
        </w:rPr>
        <w:t xml:space="preserve"> da aplicação dos recursos na manutenção e desenvolvimento do ensino nos termos dos artigos 70 e 71 da Lei Federal n.º 9.394/96, por órgão, detalhando fontes e valores por programas de trabalho e grupos de despesa;</w:t>
      </w:r>
    </w:p>
    <w:p>
      <w:pPr>
        <w:pStyle w:val="Normal"/>
        <w:snapToGrid w:val="false"/>
        <w:ind w:left="510" w:hanging="0"/>
        <w:jc w:val="both"/>
        <w:rPr>
          <w:rFonts w:ascii="Arial" w:hAnsi="Arial" w:cs="Arial"/>
          <w:sz w:val="24"/>
          <w:szCs w:val="24"/>
        </w:rPr>
      </w:pPr>
      <w:r>
        <w:rPr>
          <w:rFonts w:cs="Arial" w:ascii="Arial" w:hAnsi="Arial"/>
          <w:sz w:val="24"/>
          <w:szCs w:val="24"/>
        </w:rPr>
      </w:r>
    </w:p>
    <w:p>
      <w:pPr>
        <w:pStyle w:val="Normal"/>
        <w:ind w:left="510" w:hanging="0"/>
        <w:jc w:val="both"/>
        <w:rPr>
          <w:rFonts w:ascii="Arial" w:hAnsi="Arial" w:cs="Arial"/>
          <w:sz w:val="24"/>
          <w:szCs w:val="24"/>
        </w:rPr>
      </w:pPr>
      <w:r>
        <w:rPr>
          <w:rFonts w:cs="Arial" w:ascii="Arial" w:hAnsi="Arial"/>
          <w:b/>
          <w:bCs/>
          <w:sz w:val="24"/>
          <w:szCs w:val="24"/>
        </w:rPr>
        <w:t>XVI –</w:t>
      </w:r>
      <w:r>
        <w:rPr>
          <w:rFonts w:cs="Arial" w:ascii="Arial" w:hAnsi="Arial"/>
          <w:sz w:val="24"/>
          <w:szCs w:val="24"/>
        </w:rPr>
        <w:t xml:space="preserve"> de aplicação dos recursos referentes ao Fundo de Manutenção e Desenvolvimento da Educação Básica e de Valorização dos Profissionais da Educação – FUNDEB, na forma da legislação que dispõe sobre o assunto;</w:t>
      </w:r>
    </w:p>
    <w:p>
      <w:pPr>
        <w:pStyle w:val="Normal"/>
        <w:tabs>
          <w:tab w:val="clear" w:pos="708"/>
          <w:tab w:val="left" w:pos="2340" w:leader="none"/>
        </w:tabs>
        <w:ind w:left="510" w:hanging="0"/>
        <w:jc w:val="both"/>
        <w:rPr>
          <w:rFonts w:ascii="Arial" w:hAnsi="Arial" w:cs="Arial"/>
          <w:sz w:val="24"/>
          <w:szCs w:val="24"/>
        </w:rPr>
      </w:pPr>
      <w:r>
        <w:rPr>
          <w:rFonts w:cs="Arial" w:ascii="Arial" w:hAnsi="Arial"/>
          <w:sz w:val="24"/>
          <w:szCs w:val="24"/>
        </w:rPr>
      </w:r>
    </w:p>
    <w:p>
      <w:pPr>
        <w:pStyle w:val="Normal"/>
        <w:tabs>
          <w:tab w:val="clear" w:pos="708"/>
          <w:tab w:val="left" w:pos="2340" w:leader="none"/>
        </w:tabs>
        <w:ind w:left="510" w:hanging="0"/>
        <w:jc w:val="both"/>
        <w:rPr>
          <w:rFonts w:ascii="Arial" w:hAnsi="Arial" w:cs="Arial"/>
          <w:sz w:val="24"/>
          <w:szCs w:val="24"/>
        </w:rPr>
      </w:pPr>
      <w:r>
        <w:rPr>
          <w:rFonts w:cs="Arial" w:ascii="Arial" w:hAnsi="Arial"/>
          <w:b/>
          <w:bCs/>
          <w:sz w:val="24"/>
          <w:szCs w:val="24"/>
        </w:rPr>
        <w:t>XVII -</w:t>
      </w:r>
      <w:r>
        <w:rPr>
          <w:rFonts w:cs="Arial" w:ascii="Arial" w:hAnsi="Arial"/>
          <w:sz w:val="24"/>
          <w:szCs w:val="24"/>
        </w:rPr>
        <w:t xml:space="preserve"> do quadro geral da receita dos orçamentos fiscal e da seguridade social, isolada e conjuntamente, por rubrica e segundo a origem dos recursos;</w:t>
      </w:r>
    </w:p>
    <w:p>
      <w:pPr>
        <w:pStyle w:val="Normal"/>
        <w:tabs>
          <w:tab w:val="clear" w:pos="708"/>
          <w:tab w:val="left" w:pos="2340" w:leader="none"/>
        </w:tabs>
        <w:ind w:left="510" w:hanging="0"/>
        <w:jc w:val="both"/>
        <w:rPr>
          <w:rFonts w:ascii="Arial" w:hAnsi="Arial" w:cs="Arial"/>
          <w:sz w:val="24"/>
          <w:szCs w:val="24"/>
        </w:rPr>
      </w:pPr>
      <w:r>
        <w:rPr>
          <w:rFonts w:cs="Arial" w:ascii="Arial" w:hAnsi="Arial"/>
          <w:sz w:val="24"/>
          <w:szCs w:val="24"/>
        </w:rPr>
      </w:r>
    </w:p>
    <w:p>
      <w:pPr>
        <w:pStyle w:val="Normal"/>
        <w:tabs>
          <w:tab w:val="clear" w:pos="708"/>
          <w:tab w:val="left" w:pos="1440" w:leader="none"/>
        </w:tabs>
        <w:ind w:left="510" w:hanging="0"/>
        <w:jc w:val="both"/>
        <w:rPr>
          <w:rFonts w:ascii="Arial" w:hAnsi="Arial" w:cs="Arial"/>
          <w:sz w:val="24"/>
          <w:szCs w:val="24"/>
        </w:rPr>
      </w:pPr>
      <w:r>
        <w:rPr>
          <w:rFonts w:cs="Arial" w:ascii="Arial" w:hAnsi="Arial"/>
          <w:b/>
          <w:bCs/>
          <w:sz w:val="24"/>
          <w:szCs w:val="24"/>
        </w:rPr>
        <w:t>XVIII –</w:t>
      </w:r>
      <w:r>
        <w:rPr>
          <w:rFonts w:cs="Arial" w:ascii="Arial" w:hAnsi="Arial"/>
          <w:sz w:val="24"/>
          <w:szCs w:val="24"/>
        </w:rPr>
        <w:t xml:space="preserve"> da aplicação dos recursos de que trata a Emenda Constitucional nº 25;</w:t>
      </w:r>
    </w:p>
    <w:p>
      <w:pPr>
        <w:pStyle w:val="Normal"/>
        <w:tabs>
          <w:tab w:val="clear" w:pos="708"/>
          <w:tab w:val="left" w:pos="1440" w:leader="none"/>
        </w:tabs>
        <w:ind w:left="510" w:hanging="0"/>
        <w:jc w:val="both"/>
        <w:rPr>
          <w:rFonts w:ascii="Arial" w:hAnsi="Arial" w:cs="Arial"/>
          <w:sz w:val="24"/>
          <w:szCs w:val="24"/>
        </w:rPr>
      </w:pPr>
      <w:r>
        <w:rPr>
          <w:rFonts w:cs="Arial" w:ascii="Arial" w:hAnsi="Arial"/>
          <w:sz w:val="24"/>
          <w:szCs w:val="24"/>
        </w:rPr>
      </w:r>
    </w:p>
    <w:p>
      <w:pPr>
        <w:pStyle w:val="Normal"/>
        <w:snapToGrid w:val="false"/>
        <w:ind w:left="510" w:hanging="0"/>
        <w:jc w:val="both"/>
        <w:rPr>
          <w:rFonts w:ascii="Arial" w:hAnsi="Arial" w:cs="Arial"/>
          <w:sz w:val="24"/>
          <w:szCs w:val="24"/>
        </w:rPr>
      </w:pPr>
      <w:r>
        <w:rPr>
          <w:rFonts w:cs="Arial" w:ascii="Arial" w:hAnsi="Arial"/>
          <w:b/>
          <w:bCs/>
          <w:sz w:val="24"/>
          <w:szCs w:val="24"/>
        </w:rPr>
        <w:t>XIX –</w:t>
      </w:r>
      <w:r>
        <w:rPr>
          <w:rFonts w:cs="Arial" w:ascii="Arial" w:hAnsi="Arial"/>
          <w:sz w:val="24"/>
          <w:szCs w:val="24"/>
        </w:rPr>
        <w:t xml:space="preserve"> da receita corrente líquida com base no art.1º, parágrafo 1º, inciso IV da Lei Complementar n° 101/2000;</w:t>
      </w:r>
    </w:p>
    <w:p>
      <w:pPr>
        <w:pStyle w:val="Normal"/>
        <w:snapToGrid w:val="false"/>
        <w:ind w:left="510" w:hanging="0"/>
        <w:jc w:val="both"/>
        <w:rPr>
          <w:rFonts w:ascii="Arial" w:hAnsi="Arial" w:cs="Arial"/>
          <w:sz w:val="24"/>
          <w:szCs w:val="24"/>
        </w:rPr>
      </w:pPr>
      <w:r>
        <w:rPr>
          <w:rFonts w:cs="Arial" w:ascii="Arial" w:hAnsi="Arial"/>
          <w:sz w:val="24"/>
          <w:szCs w:val="24"/>
        </w:rPr>
      </w:r>
    </w:p>
    <w:p>
      <w:pPr>
        <w:pStyle w:val="Normal"/>
        <w:snapToGrid w:val="false"/>
        <w:ind w:left="510" w:hanging="0"/>
        <w:jc w:val="both"/>
        <w:rPr>
          <w:rFonts w:ascii="Arial" w:hAnsi="Arial" w:cs="Arial"/>
          <w:sz w:val="24"/>
          <w:szCs w:val="24"/>
        </w:rPr>
      </w:pPr>
      <w:r>
        <w:rPr>
          <w:rFonts w:cs="Arial" w:ascii="Arial" w:hAnsi="Arial"/>
          <w:b/>
          <w:bCs/>
          <w:sz w:val="24"/>
          <w:szCs w:val="24"/>
        </w:rPr>
        <w:t>XX</w:t>
      </w:r>
      <w:r>
        <w:rPr>
          <w:rFonts w:cs="Arial" w:ascii="Arial" w:hAnsi="Arial"/>
          <w:b/>
          <w:sz w:val="24"/>
          <w:szCs w:val="24"/>
        </w:rPr>
        <w:t>–</w:t>
      </w:r>
      <w:r>
        <w:rPr>
          <w:rFonts w:cs="Arial" w:ascii="Arial" w:hAnsi="Arial"/>
          <w:sz w:val="24"/>
          <w:szCs w:val="24"/>
        </w:rPr>
        <w:t xml:space="preserve"> da aplicação dos recursos reservados à saúde de que trata a Emenda Constitucional nº 29;</w:t>
      </w:r>
    </w:p>
    <w:p>
      <w:pPr>
        <w:pStyle w:val="Normal"/>
        <w:tabs>
          <w:tab w:val="clear" w:pos="708"/>
          <w:tab w:val="left" w:pos="1440" w:leader="none"/>
        </w:tabs>
        <w:snapToGrid w:val="false"/>
        <w:ind w:left="510" w:firstLine="900"/>
        <w:jc w:val="both"/>
        <w:rPr>
          <w:rFonts w:ascii="Arial" w:hAnsi="Arial" w:cs="Arial"/>
          <w:b/>
          <w:bCs/>
          <w:sz w:val="24"/>
          <w:szCs w:val="24"/>
        </w:rPr>
      </w:pPr>
      <w:r>
        <w:rPr>
          <w:rFonts w:cs="Arial" w:ascii="Arial" w:hAnsi="Arial"/>
          <w:b/>
          <w:bCs/>
          <w:sz w:val="24"/>
          <w:szCs w:val="24"/>
        </w:rPr>
      </w:r>
    </w:p>
    <w:p>
      <w:pPr>
        <w:pStyle w:val="Normal"/>
        <w:tabs>
          <w:tab w:val="clear" w:pos="708"/>
          <w:tab w:val="left" w:pos="1440" w:leader="none"/>
        </w:tabs>
        <w:snapToGrid w:val="false"/>
        <w:ind w:left="510" w:hanging="0"/>
        <w:jc w:val="both"/>
        <w:rPr>
          <w:rFonts w:ascii="Arial" w:hAnsi="Arial" w:cs="Arial"/>
          <w:sz w:val="24"/>
          <w:szCs w:val="24"/>
        </w:rPr>
      </w:pPr>
      <w:r>
        <w:rPr>
          <w:rFonts w:cs="Arial" w:ascii="Arial" w:hAnsi="Arial"/>
          <w:bCs/>
          <w:sz w:val="24"/>
          <w:szCs w:val="24"/>
        </w:rPr>
        <w:tab/>
        <w:tab/>
      </w:r>
      <w:r>
        <w:rPr>
          <w:rFonts w:cs="Arial" w:ascii="Arial" w:hAnsi="Arial"/>
          <w:b/>
          <w:bCs/>
          <w:sz w:val="24"/>
          <w:szCs w:val="24"/>
        </w:rPr>
        <w:t xml:space="preserve">Art. 24 - </w:t>
      </w:r>
      <w:r>
        <w:rPr>
          <w:rFonts w:cs="Arial" w:ascii="Arial" w:hAnsi="Arial"/>
          <w:sz w:val="24"/>
          <w:szCs w:val="24"/>
        </w:rPr>
        <w:t>Na Lei Orçamentária Anual, que apresentará conjuntamente a programação dos orçamentos fiscal e da seguridade social em consonância com os dispositivos da Portaria nº 42, de 14 de abril de 1999, do Ministério do Orçamento e Gestão, da Portaria Interministerial da STN nº. 163, de 04 de maio de 2001, e suas alterações, a discriminação da despesa que será apresentada por unidade orçamentária, expressa por categoria de programação, indicando-se, para cada uma, os seguintes níveis de detalhamento:</w:t>
      </w:r>
    </w:p>
    <w:p>
      <w:pPr>
        <w:pStyle w:val="Normal"/>
        <w:tabs>
          <w:tab w:val="clear" w:pos="708"/>
          <w:tab w:val="left" w:pos="1440" w:leader="none"/>
        </w:tabs>
        <w:snapToGrid w:val="false"/>
        <w:ind w:left="510" w:hanging="0"/>
        <w:jc w:val="both"/>
        <w:rPr>
          <w:rFonts w:ascii="Arial" w:hAnsi="Arial" w:cs="Arial"/>
          <w:sz w:val="24"/>
          <w:szCs w:val="24"/>
        </w:rPr>
      </w:pPr>
      <w:r>
        <w:rPr>
          <w:rFonts w:cs="Arial" w:ascii="Arial" w:hAnsi="Arial"/>
          <w:sz w:val="24"/>
          <w:szCs w:val="24"/>
        </w:rPr>
      </w:r>
    </w:p>
    <w:p>
      <w:pPr>
        <w:pStyle w:val="Normal"/>
        <w:snapToGrid w:val="false"/>
        <w:ind w:left="510" w:hanging="0"/>
        <w:rPr>
          <w:rFonts w:ascii="Arial" w:hAnsi="Arial" w:cs="Arial"/>
          <w:sz w:val="24"/>
          <w:szCs w:val="24"/>
        </w:rPr>
      </w:pPr>
      <w:r>
        <w:rPr>
          <w:rFonts w:cs="Arial" w:ascii="Arial" w:hAnsi="Arial"/>
          <w:b/>
          <w:bCs/>
          <w:sz w:val="24"/>
          <w:szCs w:val="24"/>
        </w:rPr>
        <w:t>I –</w:t>
      </w:r>
      <w:r>
        <w:rPr>
          <w:rFonts w:cs="Arial" w:ascii="Arial" w:hAnsi="Arial"/>
          <w:sz w:val="24"/>
          <w:szCs w:val="24"/>
        </w:rPr>
        <w:t xml:space="preserve"> o orçamento a que pertence;</w:t>
      </w:r>
    </w:p>
    <w:p>
      <w:pPr>
        <w:pStyle w:val="Normal"/>
        <w:snapToGrid w:val="false"/>
        <w:ind w:left="510" w:hanging="0"/>
        <w:rPr>
          <w:rFonts w:ascii="Arial" w:hAnsi="Arial" w:cs="Arial"/>
          <w:sz w:val="24"/>
          <w:szCs w:val="24"/>
        </w:rPr>
      </w:pPr>
      <w:r>
        <w:rPr>
          <w:rFonts w:cs="Arial" w:ascii="Arial" w:hAnsi="Arial"/>
          <w:sz w:val="24"/>
          <w:szCs w:val="24"/>
        </w:rPr>
      </w:r>
    </w:p>
    <w:p>
      <w:pPr>
        <w:pStyle w:val="Normal"/>
        <w:snapToGrid w:val="false"/>
        <w:ind w:left="510" w:hanging="0"/>
        <w:jc w:val="both"/>
        <w:rPr>
          <w:rFonts w:ascii="Arial" w:hAnsi="Arial" w:cs="Arial"/>
          <w:sz w:val="24"/>
          <w:szCs w:val="24"/>
        </w:rPr>
      </w:pPr>
      <w:r>
        <w:rPr>
          <w:rFonts w:cs="Arial" w:ascii="Arial" w:hAnsi="Arial"/>
          <w:b/>
          <w:bCs/>
          <w:sz w:val="24"/>
          <w:szCs w:val="24"/>
        </w:rPr>
        <w:t>II–</w:t>
      </w:r>
      <w:r>
        <w:rPr>
          <w:rFonts w:cs="Arial" w:ascii="Arial" w:hAnsi="Arial"/>
          <w:sz w:val="24"/>
          <w:szCs w:val="24"/>
        </w:rPr>
        <w:t xml:space="preserve"> o grupo de despesa a que se refere, obedecendo a seguinte classificação:</w:t>
      </w:r>
    </w:p>
    <w:p>
      <w:pPr>
        <w:pStyle w:val="Normal"/>
        <w:ind w:left="510" w:hanging="0"/>
        <w:jc w:val="both"/>
        <w:rPr>
          <w:rFonts w:ascii="Arial" w:hAnsi="Arial" w:cs="Arial"/>
          <w:b/>
          <w:bCs/>
          <w:sz w:val="24"/>
          <w:szCs w:val="24"/>
        </w:rPr>
      </w:pPr>
      <w:r>
        <w:rPr>
          <w:rFonts w:cs="Arial" w:ascii="Arial" w:hAnsi="Arial"/>
          <w:b/>
          <w:bCs/>
          <w:sz w:val="24"/>
          <w:szCs w:val="24"/>
        </w:rPr>
      </w:r>
    </w:p>
    <w:p>
      <w:pPr>
        <w:pStyle w:val="Normal"/>
        <w:snapToGrid w:val="false"/>
        <w:ind w:left="510" w:hanging="0"/>
        <w:jc w:val="both"/>
        <w:rPr>
          <w:rFonts w:ascii="Arial" w:hAnsi="Arial" w:cs="Arial"/>
          <w:sz w:val="24"/>
          <w:szCs w:val="24"/>
        </w:rPr>
      </w:pPr>
      <w:r>
        <w:rPr>
          <w:rFonts w:cs="Arial" w:ascii="Arial" w:hAnsi="Arial"/>
          <w:b/>
          <w:bCs/>
          <w:sz w:val="24"/>
          <w:szCs w:val="24"/>
        </w:rPr>
        <w:t>a)</w:t>
      </w:r>
      <w:r>
        <w:rPr>
          <w:rFonts w:cs="Arial" w:ascii="Arial" w:hAnsi="Arial"/>
          <w:sz w:val="24"/>
          <w:szCs w:val="24"/>
        </w:rPr>
        <w:tab/>
      </w:r>
      <w:r>
        <w:rPr>
          <w:rFonts w:cs="Arial" w:ascii="Arial" w:hAnsi="Arial"/>
          <w:b/>
          <w:bCs/>
          <w:sz w:val="24"/>
          <w:szCs w:val="24"/>
        </w:rPr>
        <w:t>DESPESAS CORRENTES:</w:t>
      </w:r>
    </w:p>
    <w:p>
      <w:pPr>
        <w:pStyle w:val="Normal"/>
        <w:ind w:left="510" w:hanging="1593"/>
        <w:jc w:val="both"/>
        <w:rPr>
          <w:rFonts w:ascii="Arial" w:hAnsi="Arial" w:cs="Arial"/>
          <w:sz w:val="24"/>
          <w:szCs w:val="24"/>
        </w:rPr>
      </w:pPr>
      <w:r>
        <w:rPr>
          <w:rFonts w:cs="Arial" w:ascii="Arial" w:hAnsi="Arial"/>
          <w:sz w:val="24"/>
          <w:szCs w:val="24"/>
        </w:rPr>
        <w:tab/>
        <w:t>Pessoal e Encargos Sociais;</w:t>
      </w:r>
    </w:p>
    <w:p>
      <w:pPr>
        <w:pStyle w:val="Normal"/>
        <w:ind w:left="510" w:hanging="1593"/>
        <w:jc w:val="both"/>
        <w:rPr>
          <w:rFonts w:ascii="Arial" w:hAnsi="Arial" w:cs="Arial"/>
          <w:sz w:val="24"/>
          <w:szCs w:val="24"/>
        </w:rPr>
      </w:pPr>
      <w:r>
        <w:rPr>
          <w:rFonts w:cs="Arial" w:ascii="Arial" w:hAnsi="Arial"/>
          <w:sz w:val="24"/>
          <w:szCs w:val="24"/>
        </w:rPr>
        <w:tab/>
        <w:t>Juros e Encargos da Dívida;</w:t>
      </w:r>
    </w:p>
    <w:p>
      <w:pPr>
        <w:pStyle w:val="Normal"/>
        <w:ind w:left="510" w:hanging="1593"/>
        <w:jc w:val="both"/>
        <w:rPr>
          <w:rFonts w:ascii="Arial" w:hAnsi="Arial" w:cs="Arial"/>
          <w:sz w:val="24"/>
          <w:szCs w:val="24"/>
        </w:rPr>
      </w:pPr>
      <w:r>
        <w:rPr>
          <w:rFonts w:cs="Arial" w:ascii="Arial" w:hAnsi="Arial"/>
          <w:sz w:val="24"/>
          <w:szCs w:val="24"/>
        </w:rPr>
        <w:tab/>
        <w:t>Outras Despesas Correntes.</w:t>
      </w:r>
    </w:p>
    <w:p>
      <w:pPr>
        <w:pStyle w:val="Normal"/>
        <w:ind w:left="510" w:hanging="323"/>
        <w:jc w:val="both"/>
        <w:rPr>
          <w:rFonts w:ascii="Arial" w:hAnsi="Arial" w:cs="Arial"/>
          <w:sz w:val="24"/>
          <w:szCs w:val="24"/>
        </w:rPr>
      </w:pPr>
      <w:r>
        <w:rPr>
          <w:rFonts w:cs="Arial" w:ascii="Arial" w:hAnsi="Arial"/>
          <w:sz w:val="24"/>
          <w:szCs w:val="24"/>
        </w:rPr>
      </w:r>
    </w:p>
    <w:p>
      <w:pPr>
        <w:pStyle w:val="Normal"/>
        <w:ind w:left="510" w:firstLine="1440"/>
        <w:jc w:val="both"/>
        <w:rPr>
          <w:rFonts w:ascii="Arial" w:hAnsi="Arial" w:cs="Arial"/>
          <w:sz w:val="24"/>
          <w:szCs w:val="24"/>
        </w:rPr>
      </w:pPr>
      <w:r>
        <w:rPr>
          <w:rFonts w:cs="Arial" w:ascii="Arial" w:hAnsi="Arial"/>
          <w:b/>
          <w:bCs/>
          <w:sz w:val="24"/>
          <w:szCs w:val="24"/>
        </w:rPr>
        <w:t>b)       DESPESAS DE CAPITAL:</w:t>
      </w:r>
    </w:p>
    <w:p>
      <w:pPr>
        <w:pStyle w:val="Normal"/>
        <w:ind w:left="510" w:hanging="36"/>
        <w:jc w:val="both"/>
        <w:rPr>
          <w:rFonts w:ascii="Arial" w:hAnsi="Arial" w:cs="Arial"/>
          <w:sz w:val="24"/>
          <w:szCs w:val="24"/>
        </w:rPr>
      </w:pPr>
      <w:r>
        <w:rPr>
          <w:rFonts w:cs="Arial" w:ascii="Arial" w:hAnsi="Arial"/>
          <w:sz w:val="24"/>
          <w:szCs w:val="24"/>
        </w:rPr>
        <w:t>Investimentos;</w:t>
      </w:r>
    </w:p>
    <w:p>
      <w:pPr>
        <w:pStyle w:val="Normal"/>
        <w:ind w:left="510" w:hanging="1593"/>
        <w:jc w:val="both"/>
        <w:rPr>
          <w:rFonts w:ascii="Arial" w:hAnsi="Arial" w:cs="Arial"/>
          <w:sz w:val="24"/>
          <w:szCs w:val="24"/>
        </w:rPr>
      </w:pPr>
      <w:r>
        <w:rPr>
          <w:rFonts w:cs="Arial" w:ascii="Arial" w:hAnsi="Arial"/>
          <w:sz w:val="24"/>
          <w:szCs w:val="24"/>
        </w:rPr>
        <w:t>Inversões Financeiras;</w:t>
      </w:r>
    </w:p>
    <w:p>
      <w:pPr>
        <w:pStyle w:val="Normal"/>
        <w:ind w:left="510" w:hanging="1593"/>
        <w:jc w:val="both"/>
        <w:rPr>
          <w:rFonts w:ascii="Arial" w:hAnsi="Arial" w:cs="Arial"/>
          <w:sz w:val="24"/>
          <w:szCs w:val="24"/>
        </w:rPr>
      </w:pPr>
      <w:r>
        <w:rPr>
          <w:rFonts w:cs="Arial" w:ascii="Arial" w:hAnsi="Arial"/>
          <w:sz w:val="24"/>
          <w:szCs w:val="24"/>
        </w:rPr>
        <w:tab/>
        <w:t>Amortização e Refinanciamento da Dívida;</w:t>
      </w:r>
    </w:p>
    <w:p>
      <w:pPr>
        <w:pStyle w:val="Normal"/>
        <w:ind w:left="510" w:hanging="1593"/>
        <w:jc w:val="both"/>
        <w:rPr>
          <w:rStyle w:val="Negrito"/>
          <w:rFonts w:ascii="Arial" w:hAnsi="Arial" w:cs="Arial"/>
          <w:b w:val="false"/>
          <w:caps w:val="false"/>
          <w:smallCaps w:val="false"/>
          <w:sz w:val="24"/>
          <w:szCs w:val="24"/>
        </w:rPr>
      </w:pPr>
      <w:r>
        <w:rPr>
          <w:rFonts w:cs="Arial" w:ascii="Arial" w:hAnsi="Arial"/>
          <w:sz w:val="24"/>
          <w:szCs w:val="24"/>
        </w:rPr>
        <w:tab/>
        <w:t>Outras despesas de Capital.</w:t>
      </w:r>
    </w:p>
    <w:p>
      <w:pPr>
        <w:pStyle w:val="Normal"/>
        <w:snapToGrid w:val="false"/>
        <w:ind w:left="510" w:hanging="0"/>
        <w:jc w:val="center"/>
        <w:rPr>
          <w:rStyle w:val="Negrito"/>
          <w:rFonts w:ascii="Arial" w:hAnsi="Arial" w:cs="Arial"/>
          <w:sz w:val="24"/>
          <w:szCs w:val="24"/>
        </w:rPr>
      </w:pPr>
      <w:r>
        <w:rPr>
          <w:rFonts w:cs="Arial" w:ascii="Arial" w:hAnsi="Arial"/>
          <w:sz w:val="24"/>
          <w:szCs w:val="24"/>
        </w:rPr>
      </w:r>
    </w:p>
    <w:p>
      <w:pPr>
        <w:pStyle w:val="Normal"/>
        <w:snapToGrid w:val="false"/>
        <w:ind w:left="510" w:hanging="0"/>
        <w:jc w:val="center"/>
        <w:rPr>
          <w:rStyle w:val="Negrito"/>
          <w:rFonts w:ascii="Arial" w:hAnsi="Arial" w:cs="Arial"/>
          <w:sz w:val="24"/>
          <w:szCs w:val="24"/>
        </w:rPr>
      </w:pPr>
      <w:r>
        <w:rPr>
          <w:rFonts w:cs="Arial" w:ascii="Arial" w:hAnsi="Arial"/>
          <w:sz w:val="24"/>
          <w:szCs w:val="24"/>
        </w:rPr>
      </w:r>
    </w:p>
    <w:p>
      <w:pPr>
        <w:pStyle w:val="Normal"/>
        <w:snapToGrid w:val="false"/>
        <w:ind w:left="510" w:hanging="0"/>
        <w:jc w:val="center"/>
        <w:rPr>
          <w:rStyle w:val="Negrito"/>
          <w:rFonts w:ascii="Arial" w:hAnsi="Arial" w:cs="Arial"/>
          <w:sz w:val="24"/>
          <w:szCs w:val="24"/>
        </w:rPr>
      </w:pPr>
      <w:r>
        <w:rPr>
          <w:rFonts w:cs="Arial" w:ascii="Arial" w:hAnsi="Arial"/>
          <w:sz w:val="24"/>
          <w:szCs w:val="24"/>
        </w:rPr>
      </w:r>
    </w:p>
    <w:p>
      <w:pPr>
        <w:pStyle w:val="Normal"/>
        <w:snapToGrid w:val="false"/>
        <w:ind w:left="510" w:hanging="0"/>
        <w:jc w:val="center"/>
        <w:rPr>
          <w:rStyle w:val="Negrito"/>
          <w:rFonts w:ascii="Arial" w:hAnsi="Arial" w:cs="Arial"/>
          <w:sz w:val="24"/>
          <w:szCs w:val="24"/>
        </w:rPr>
      </w:pPr>
      <w:r>
        <w:rPr>
          <w:rFonts w:cs="Arial" w:ascii="Arial" w:hAnsi="Arial"/>
          <w:sz w:val="24"/>
          <w:szCs w:val="24"/>
        </w:rPr>
      </w:r>
    </w:p>
    <w:p>
      <w:pPr>
        <w:pStyle w:val="Normal"/>
        <w:snapToGrid w:val="false"/>
        <w:ind w:left="510" w:hanging="0"/>
        <w:jc w:val="center"/>
        <w:rPr>
          <w:rStyle w:val="Negrito"/>
          <w:rFonts w:ascii="Arial" w:hAnsi="Arial" w:cs="Arial"/>
          <w:sz w:val="24"/>
          <w:szCs w:val="24"/>
        </w:rPr>
      </w:pPr>
      <w:r>
        <w:rPr>
          <w:rFonts w:cs="Arial" w:ascii="Arial" w:hAnsi="Arial"/>
          <w:sz w:val="24"/>
          <w:szCs w:val="24"/>
        </w:rPr>
      </w:r>
    </w:p>
    <w:p>
      <w:pPr>
        <w:pStyle w:val="Normal"/>
        <w:snapToGrid w:val="false"/>
        <w:ind w:left="510" w:hanging="0"/>
        <w:jc w:val="center"/>
        <w:rPr>
          <w:rStyle w:val="Negrito"/>
          <w:rFonts w:ascii="Arial" w:hAnsi="Arial" w:cs="Arial"/>
          <w:sz w:val="24"/>
          <w:szCs w:val="24"/>
        </w:rPr>
      </w:pPr>
      <w:r>
        <w:rPr>
          <w:rFonts w:cs="Arial" w:ascii="Arial" w:hAnsi="Arial"/>
          <w:sz w:val="24"/>
          <w:szCs w:val="24"/>
        </w:rPr>
      </w:r>
    </w:p>
    <w:p>
      <w:pPr>
        <w:pStyle w:val="Normal"/>
        <w:snapToGrid w:val="false"/>
        <w:ind w:left="510" w:hanging="0"/>
        <w:jc w:val="center"/>
        <w:rPr>
          <w:rStyle w:val="Negrito"/>
          <w:rFonts w:ascii="Arial" w:hAnsi="Arial" w:cs="Arial"/>
          <w:sz w:val="24"/>
          <w:szCs w:val="24"/>
        </w:rPr>
      </w:pPr>
      <w:r>
        <w:rPr>
          <w:rFonts w:cs="Arial" w:ascii="Arial" w:hAnsi="Arial"/>
          <w:sz w:val="24"/>
          <w:szCs w:val="24"/>
        </w:rPr>
      </w:r>
    </w:p>
    <w:p>
      <w:pPr>
        <w:pStyle w:val="Normal"/>
        <w:snapToGrid w:val="false"/>
        <w:ind w:left="510" w:hanging="0"/>
        <w:jc w:val="center"/>
        <w:rPr>
          <w:rStyle w:val="Negrito"/>
          <w:rFonts w:ascii="Arial" w:hAnsi="Arial" w:cs="Arial"/>
          <w:sz w:val="24"/>
          <w:szCs w:val="24"/>
        </w:rPr>
      </w:pPr>
      <w:r>
        <w:rPr>
          <w:rFonts w:cs="Arial" w:ascii="Arial" w:hAnsi="Arial"/>
          <w:sz w:val="24"/>
          <w:szCs w:val="24"/>
        </w:rPr>
      </w:r>
    </w:p>
    <w:p>
      <w:pPr>
        <w:pStyle w:val="Normal"/>
        <w:snapToGrid w:val="false"/>
        <w:ind w:left="510" w:hanging="0"/>
        <w:jc w:val="center"/>
        <w:rPr>
          <w:rStyle w:val="Negrito"/>
          <w:rFonts w:ascii="Arial" w:hAnsi="Arial" w:cs="Arial"/>
          <w:sz w:val="24"/>
          <w:szCs w:val="24"/>
        </w:rPr>
      </w:pPr>
      <w:r>
        <w:rPr>
          <w:rFonts w:cs="Arial" w:ascii="Arial" w:hAnsi="Arial"/>
          <w:sz w:val="24"/>
          <w:szCs w:val="24"/>
        </w:rPr>
      </w:r>
    </w:p>
    <w:p>
      <w:pPr>
        <w:pStyle w:val="Normal"/>
        <w:snapToGrid w:val="false"/>
        <w:ind w:left="510" w:hanging="0"/>
        <w:jc w:val="center"/>
        <w:rPr>
          <w:rFonts w:ascii="Arial" w:hAnsi="Arial" w:cs="Arial"/>
          <w:sz w:val="24"/>
          <w:szCs w:val="24"/>
        </w:rPr>
      </w:pPr>
      <w:r>
        <w:rPr>
          <w:rStyle w:val="Negrito"/>
          <w:rFonts w:cs="Arial" w:ascii="Arial" w:hAnsi="Arial"/>
          <w:sz w:val="24"/>
          <w:szCs w:val="24"/>
        </w:rPr>
        <w:t>CAPÍTULO V</w:t>
      </w:r>
    </w:p>
    <w:p>
      <w:pPr>
        <w:pStyle w:val="Recuodecorpodetexto32"/>
        <w:ind w:left="510" w:hanging="0"/>
        <w:rPr>
          <w:szCs w:val="24"/>
        </w:rPr>
      </w:pPr>
      <w:r>
        <w:rPr>
          <w:szCs w:val="24"/>
        </w:rPr>
        <w:t>DAS DIRETRIZES GERAIS PARA A ELABORAÇÃO E EXECUÇÃO DOS ORÇAMENTOS DO MUNICÍPIO E SUAS ALTERAÇÕES</w:t>
      </w:r>
    </w:p>
    <w:p>
      <w:pPr>
        <w:pStyle w:val="Normal"/>
        <w:ind w:left="510" w:hanging="0"/>
        <w:jc w:val="both"/>
        <w:rPr>
          <w:rFonts w:ascii="Arial" w:hAnsi="Arial" w:cs="Arial"/>
          <w:b/>
          <w:bCs/>
          <w:sz w:val="24"/>
          <w:szCs w:val="24"/>
        </w:rPr>
      </w:pPr>
      <w:r>
        <w:rPr>
          <w:rFonts w:cs="Arial" w:ascii="Arial" w:hAnsi="Arial"/>
          <w:b/>
          <w:bCs/>
          <w:sz w:val="24"/>
          <w:szCs w:val="24"/>
        </w:rPr>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Art. 25 -</w:t>
      </w:r>
      <w:r>
        <w:rPr>
          <w:rFonts w:eastAsia="Calibri" w:cs="Arial" w:ascii="Arial" w:hAnsi="Arial"/>
          <w:sz w:val="24"/>
          <w:szCs w:val="24"/>
          <w:lang w:eastAsia="en-US"/>
        </w:rPr>
        <w:t xml:space="preserve"> O Orçamento para exercício de 2025 obedecerá entre outros, ao princípio da transparência e do equilíbrio entre receitas e despesas</w:t>
      </w:r>
      <w:r>
        <w:rPr>
          <w:rFonts w:eastAsia="Calibri" w:cs="Arial" w:ascii="Arial" w:hAnsi="Arial"/>
          <w:sz w:val="24"/>
          <w:szCs w:val="24"/>
          <w:u w:val="single"/>
          <w:lang w:eastAsia="en-US"/>
        </w:rPr>
        <w:t>,</w:t>
      </w:r>
      <w:r>
        <w:rPr>
          <w:rFonts w:eastAsia="Calibri" w:cs="Arial" w:ascii="Arial" w:hAnsi="Arial"/>
          <w:sz w:val="24"/>
          <w:szCs w:val="24"/>
          <w:lang w:eastAsia="en-US"/>
        </w:rPr>
        <w:t xml:space="preserve"> abrangendo os Poderes Legislativo e Executivo, Autarquias, Fundos e Outras, nos termos dos arts. 1º, § 1º, 4º I, “a” e 48 da LRF.</w:t>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Art. 26 -</w:t>
      </w:r>
      <w:r>
        <w:rPr>
          <w:rFonts w:eastAsia="Calibri" w:cs="Arial" w:ascii="Arial" w:hAnsi="Arial"/>
          <w:sz w:val="24"/>
          <w:szCs w:val="24"/>
          <w:lang w:eastAsia="en-US"/>
        </w:rPr>
        <w:t xml:space="preserve"> Os estudos para definição dos Orçamentos da Receita para 2025 deverão observar os efeitos da alteração da legislação tributária, incentivos fiscais autorizados, a inflação do período, o crescimento econômico, a ampliação da base de cálculo dos tributos e a sua evolução nos últimos três exercícios e a projeção para os dois seguintes, nos termos do art. 12 da LRF.</w:t>
      </w:r>
    </w:p>
    <w:p>
      <w:pPr>
        <w:pStyle w:val="Normal"/>
        <w:tabs>
          <w:tab w:val="clear" w:pos="708"/>
          <w:tab w:val="left" w:pos="0" w:leader="none"/>
          <w:tab w:val="left" w:pos="540" w:leader="none"/>
          <w:tab w:val="left" w:pos="396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 Único -</w:t>
      </w:r>
      <w:r>
        <w:rPr>
          <w:rFonts w:eastAsia="Calibri" w:cs="Arial" w:ascii="Arial" w:hAnsi="Arial"/>
          <w:sz w:val="24"/>
          <w:szCs w:val="24"/>
          <w:lang w:eastAsia="en-US"/>
        </w:rPr>
        <w:t xml:space="preserve"> Até 30 dias antes do prazo para encaminhamento da Proposta Orçamentária ao Poder Legislativo, o Poder Executivo Municipal colocara à disposição da Câmara Municipal e do Ministério Público, os estudos e as estimativas de receitas para os exercícios subsequentes e as respectivas memórias de cálculo, nos termos do art. 12, § 3º da LRF.</w:t>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2880" w:leader="none"/>
        </w:tabs>
        <w:ind w:left="510" w:hanging="0"/>
        <w:jc w:val="both"/>
        <w:rPr>
          <w:rFonts w:ascii="Arial" w:hAnsi="Arial" w:cs="Arial"/>
          <w:sz w:val="24"/>
          <w:szCs w:val="24"/>
        </w:rPr>
      </w:pPr>
      <w:r>
        <w:rPr>
          <w:rFonts w:cs="Arial" w:ascii="Arial" w:hAnsi="Arial"/>
          <w:b/>
          <w:sz w:val="24"/>
          <w:szCs w:val="24"/>
        </w:rPr>
        <w:t>Art. 27 -</w:t>
      </w:r>
      <w:r>
        <w:rPr>
          <w:rFonts w:cs="Arial" w:ascii="Arial" w:hAnsi="Arial"/>
          <w:sz w:val="24"/>
          <w:szCs w:val="24"/>
        </w:rPr>
        <w:t xml:space="preserve"> A previsão na Lei Orçamentária Anual, de concessão ou ampliação de incentivo ou benefício de natureza tributária da qual decorra renúncia de receita deverá obedecer aos critérios estabelecidos no artigo 14 da Lei Complementar Federal nº 101/2000.</w:t>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2880" w:leader="none"/>
        </w:tabs>
        <w:ind w:left="510" w:hanging="0"/>
        <w:jc w:val="both"/>
        <w:rPr>
          <w:rFonts w:ascii="Arial" w:hAnsi="Arial" w:cs="Arial"/>
          <w:sz w:val="24"/>
          <w:szCs w:val="24"/>
        </w:rPr>
      </w:pPr>
      <w:r>
        <w:rPr>
          <w:rFonts w:cs="Arial" w:ascii="Arial" w:hAnsi="Arial"/>
          <w:b/>
          <w:sz w:val="24"/>
          <w:szCs w:val="24"/>
        </w:rPr>
        <w:t>Art. 28 -</w:t>
      </w:r>
      <w:r>
        <w:rPr>
          <w:rFonts w:cs="Arial" w:ascii="Arial" w:hAnsi="Arial"/>
          <w:sz w:val="24"/>
          <w:szCs w:val="24"/>
        </w:rPr>
        <w:t xml:space="preserve"> A Lei Orçamentária Anual de 2025 poderá conter autorização para a abertura de créditos adicionais suplementares.</w:t>
      </w:r>
    </w:p>
    <w:p>
      <w:pPr>
        <w:pStyle w:val="Normal"/>
        <w:tabs>
          <w:tab w:val="clear" w:pos="708"/>
          <w:tab w:val="left" w:pos="0" w:leader="none"/>
          <w:tab w:val="left" w:pos="2880" w:leader="none"/>
        </w:tabs>
        <w:ind w:left="510" w:hanging="0"/>
        <w:jc w:val="both"/>
        <w:rPr>
          <w:rFonts w:ascii="Arial" w:hAnsi="Arial" w:cs="Arial"/>
          <w:sz w:val="24"/>
          <w:szCs w:val="24"/>
        </w:rPr>
      </w:pPr>
      <w:r>
        <w:rPr>
          <w:rFonts w:cs="Arial" w:ascii="Arial" w:hAnsi="Arial"/>
          <w:sz w:val="24"/>
          <w:szCs w:val="24"/>
        </w:rPr>
      </w:r>
    </w:p>
    <w:p>
      <w:pPr>
        <w:pStyle w:val="Normal"/>
        <w:tabs>
          <w:tab w:val="clear" w:pos="708"/>
          <w:tab w:val="left" w:pos="0" w:leader="none"/>
          <w:tab w:val="left" w:pos="2880" w:leader="none"/>
        </w:tabs>
        <w:ind w:left="510" w:hanging="0"/>
        <w:jc w:val="both"/>
        <w:rPr>
          <w:rFonts w:ascii="Arial" w:hAnsi="Arial" w:cs="Arial"/>
          <w:sz w:val="24"/>
          <w:szCs w:val="24"/>
        </w:rPr>
      </w:pPr>
      <w:r>
        <w:rPr>
          <w:rFonts w:cs="Arial" w:ascii="Arial" w:hAnsi="Arial"/>
          <w:b/>
          <w:sz w:val="24"/>
          <w:szCs w:val="24"/>
        </w:rPr>
        <w:t>Art. 29 -</w:t>
      </w:r>
      <w:r>
        <w:rPr>
          <w:rFonts w:cs="Arial" w:ascii="Arial" w:hAnsi="Arial"/>
          <w:sz w:val="24"/>
          <w:szCs w:val="24"/>
        </w:rPr>
        <w:t xml:space="preserve"> Na programação da despesa não poderão ser: </w:t>
      </w:r>
    </w:p>
    <w:p>
      <w:pPr>
        <w:pStyle w:val="Normal"/>
        <w:tabs>
          <w:tab w:val="clear" w:pos="708"/>
          <w:tab w:val="left" w:pos="0" w:leader="none"/>
          <w:tab w:val="left" w:pos="2880" w:leader="none"/>
        </w:tabs>
        <w:ind w:left="510" w:hanging="0"/>
        <w:jc w:val="both"/>
        <w:rPr>
          <w:rFonts w:ascii="Arial" w:hAnsi="Arial" w:cs="Arial"/>
          <w:sz w:val="24"/>
          <w:szCs w:val="24"/>
        </w:rPr>
      </w:pPr>
      <w:r>
        <w:rPr>
          <w:rFonts w:cs="Arial" w:ascii="Arial" w:hAnsi="Arial"/>
          <w:b/>
          <w:sz w:val="24"/>
          <w:szCs w:val="24"/>
        </w:rPr>
        <w:t>I –</w:t>
      </w:r>
      <w:r>
        <w:rPr>
          <w:rFonts w:cs="Arial" w:ascii="Arial" w:hAnsi="Arial"/>
          <w:sz w:val="24"/>
          <w:szCs w:val="24"/>
        </w:rPr>
        <w:t xml:space="preserve"> fixadas as despesas em desacordo com os ditames desta Lei; </w:t>
      </w:r>
    </w:p>
    <w:p>
      <w:pPr>
        <w:pStyle w:val="Normal"/>
        <w:tabs>
          <w:tab w:val="clear" w:pos="708"/>
          <w:tab w:val="left" w:pos="0" w:leader="none"/>
          <w:tab w:val="left" w:pos="2880" w:leader="none"/>
        </w:tabs>
        <w:ind w:left="510" w:hanging="0"/>
        <w:jc w:val="both"/>
        <w:rPr>
          <w:rFonts w:ascii="Arial" w:hAnsi="Arial" w:cs="Arial"/>
          <w:sz w:val="24"/>
          <w:szCs w:val="24"/>
        </w:rPr>
      </w:pPr>
      <w:r>
        <w:rPr>
          <w:rFonts w:cs="Arial" w:ascii="Arial" w:hAnsi="Arial"/>
          <w:sz w:val="24"/>
          <w:szCs w:val="24"/>
        </w:rPr>
      </w:r>
    </w:p>
    <w:p>
      <w:pPr>
        <w:pStyle w:val="Normal"/>
        <w:tabs>
          <w:tab w:val="clear" w:pos="708"/>
          <w:tab w:val="left" w:pos="0" w:leader="none"/>
          <w:tab w:val="left" w:pos="2880" w:leader="none"/>
        </w:tabs>
        <w:ind w:left="510" w:hanging="0"/>
        <w:jc w:val="both"/>
        <w:rPr>
          <w:rFonts w:ascii="Arial" w:hAnsi="Arial" w:cs="Arial"/>
          <w:sz w:val="24"/>
          <w:szCs w:val="24"/>
        </w:rPr>
      </w:pPr>
      <w:r>
        <w:rPr>
          <w:rFonts w:cs="Arial" w:ascii="Arial" w:hAnsi="Arial"/>
          <w:b/>
          <w:sz w:val="24"/>
          <w:szCs w:val="24"/>
        </w:rPr>
        <w:t>II –</w:t>
      </w:r>
      <w:r>
        <w:rPr>
          <w:rFonts w:cs="Arial" w:ascii="Arial" w:hAnsi="Arial"/>
          <w:sz w:val="24"/>
          <w:szCs w:val="24"/>
        </w:rPr>
        <w:t xml:space="preserve"> fixadas as despesas sem que estejam definidas as respectivas fontes de recursos e legalmente instituídas as unidades executoras; </w:t>
      </w:r>
    </w:p>
    <w:p>
      <w:pPr>
        <w:pStyle w:val="Normal"/>
        <w:tabs>
          <w:tab w:val="clear" w:pos="708"/>
          <w:tab w:val="left" w:pos="0" w:leader="none"/>
          <w:tab w:val="left" w:pos="2880" w:leader="none"/>
        </w:tabs>
        <w:ind w:left="510" w:hanging="0"/>
        <w:jc w:val="both"/>
        <w:rPr>
          <w:rFonts w:ascii="Arial" w:hAnsi="Arial" w:cs="Arial"/>
          <w:sz w:val="24"/>
          <w:szCs w:val="24"/>
        </w:rPr>
      </w:pPr>
      <w:r>
        <w:rPr>
          <w:rFonts w:cs="Arial" w:ascii="Arial" w:hAnsi="Arial"/>
          <w:sz w:val="24"/>
          <w:szCs w:val="24"/>
        </w:rPr>
      </w:r>
    </w:p>
    <w:p>
      <w:pPr>
        <w:pStyle w:val="Normal"/>
        <w:tabs>
          <w:tab w:val="clear" w:pos="708"/>
          <w:tab w:val="left" w:pos="0" w:leader="none"/>
          <w:tab w:val="left" w:pos="2880" w:leader="none"/>
        </w:tabs>
        <w:ind w:left="510" w:hanging="0"/>
        <w:jc w:val="both"/>
        <w:rPr>
          <w:rFonts w:ascii="Arial" w:hAnsi="Arial" w:cs="Arial"/>
          <w:sz w:val="24"/>
          <w:szCs w:val="24"/>
        </w:rPr>
      </w:pPr>
      <w:r>
        <w:rPr>
          <w:rFonts w:cs="Arial" w:ascii="Arial" w:hAnsi="Arial"/>
          <w:b/>
          <w:sz w:val="24"/>
          <w:szCs w:val="24"/>
        </w:rPr>
        <w:t>III –</w:t>
      </w:r>
      <w:r>
        <w:rPr>
          <w:rFonts w:cs="Arial" w:ascii="Arial" w:hAnsi="Arial"/>
          <w:sz w:val="24"/>
          <w:szCs w:val="24"/>
        </w:rPr>
        <w:t xml:space="preserve"> incluídos projetos com a mesma finalidade em mais de um órgão ou entidade, ressalvados os casos de complementaridade de ações.                     </w:t>
      </w:r>
    </w:p>
    <w:p>
      <w:pPr>
        <w:pStyle w:val="Normal"/>
        <w:tabs>
          <w:tab w:val="clear" w:pos="708"/>
          <w:tab w:val="left" w:pos="0" w:leader="none"/>
          <w:tab w:val="left" w:pos="2880" w:leader="none"/>
        </w:tabs>
        <w:ind w:left="510" w:hanging="0"/>
        <w:jc w:val="both"/>
        <w:rPr>
          <w:rFonts w:ascii="Arial" w:hAnsi="Arial" w:cs="Arial"/>
          <w:sz w:val="24"/>
          <w:szCs w:val="24"/>
        </w:rPr>
      </w:pPr>
      <w:r>
        <w:rPr>
          <w:rFonts w:cs="Arial" w:ascii="Arial" w:hAnsi="Arial"/>
          <w:sz w:val="24"/>
          <w:szCs w:val="24"/>
        </w:rPr>
      </w:r>
    </w:p>
    <w:p>
      <w:pPr>
        <w:pStyle w:val="Normal"/>
        <w:tabs>
          <w:tab w:val="clear" w:pos="708"/>
          <w:tab w:val="left" w:pos="0" w:leader="none"/>
          <w:tab w:val="left" w:pos="2880" w:leader="none"/>
        </w:tabs>
        <w:ind w:left="510" w:hanging="0"/>
        <w:jc w:val="both"/>
        <w:rPr>
          <w:rFonts w:ascii="Arial" w:hAnsi="Arial" w:cs="Arial"/>
          <w:sz w:val="24"/>
          <w:szCs w:val="24"/>
        </w:rPr>
      </w:pPr>
      <w:r>
        <w:rPr>
          <w:rFonts w:cs="Arial" w:ascii="Arial" w:hAnsi="Arial"/>
          <w:b/>
          <w:sz w:val="24"/>
          <w:szCs w:val="24"/>
        </w:rPr>
        <w:t>Art. 30 -</w:t>
      </w:r>
      <w:r>
        <w:rPr>
          <w:rFonts w:cs="Arial" w:ascii="Arial" w:hAnsi="Arial"/>
          <w:sz w:val="24"/>
          <w:szCs w:val="24"/>
        </w:rPr>
        <w:t xml:space="preserve"> A Lei Orçamentária Anual conterá dispositivos para adaptar as despesas aos efeitos econômicos, tais como:</w:t>
      </w:r>
    </w:p>
    <w:p>
      <w:pPr>
        <w:pStyle w:val="Normal"/>
        <w:tabs>
          <w:tab w:val="clear" w:pos="708"/>
          <w:tab w:val="left" w:pos="0" w:leader="none"/>
          <w:tab w:val="left" w:pos="2880" w:leader="none"/>
        </w:tabs>
        <w:ind w:left="510" w:hanging="0"/>
        <w:jc w:val="both"/>
        <w:rPr>
          <w:rFonts w:ascii="Arial" w:hAnsi="Arial" w:cs="Arial"/>
          <w:sz w:val="24"/>
          <w:szCs w:val="24"/>
        </w:rPr>
      </w:pPr>
      <w:r>
        <w:rPr>
          <w:rFonts w:cs="Arial" w:ascii="Arial" w:hAnsi="Arial"/>
          <w:b/>
          <w:sz w:val="24"/>
          <w:szCs w:val="24"/>
        </w:rPr>
        <w:t>I -</w:t>
      </w:r>
      <w:r>
        <w:rPr>
          <w:rFonts w:cs="Arial" w:ascii="Arial" w:hAnsi="Arial"/>
          <w:sz w:val="24"/>
          <w:szCs w:val="24"/>
        </w:rPr>
        <w:t xml:space="preserve"> alterações na estrutura organizacional ou na competência legal ou regimental de órgãos, entidades e fundos do Município;</w:t>
      </w:r>
    </w:p>
    <w:p>
      <w:pPr>
        <w:pStyle w:val="Normal"/>
        <w:tabs>
          <w:tab w:val="clear" w:pos="708"/>
          <w:tab w:val="left" w:pos="0" w:leader="none"/>
          <w:tab w:val="left" w:pos="2880" w:leader="none"/>
        </w:tabs>
        <w:ind w:left="510" w:hanging="0"/>
        <w:jc w:val="both"/>
        <w:rPr>
          <w:rFonts w:ascii="Arial" w:hAnsi="Arial" w:cs="Arial"/>
          <w:sz w:val="24"/>
          <w:szCs w:val="24"/>
        </w:rPr>
      </w:pPr>
      <w:r>
        <w:rPr>
          <w:rFonts w:cs="Arial" w:ascii="Arial" w:hAnsi="Arial"/>
          <w:sz w:val="24"/>
          <w:szCs w:val="24"/>
        </w:rPr>
      </w:r>
    </w:p>
    <w:p>
      <w:pPr>
        <w:pStyle w:val="Normal"/>
        <w:tabs>
          <w:tab w:val="clear" w:pos="708"/>
          <w:tab w:val="left" w:pos="0" w:leader="none"/>
          <w:tab w:val="left" w:pos="2880" w:leader="none"/>
        </w:tabs>
        <w:ind w:left="510" w:hanging="0"/>
        <w:jc w:val="both"/>
        <w:rPr>
          <w:rFonts w:ascii="Arial" w:hAnsi="Arial" w:cs="Arial"/>
          <w:sz w:val="24"/>
          <w:szCs w:val="24"/>
        </w:rPr>
      </w:pPr>
      <w:r>
        <w:rPr>
          <w:rFonts w:cs="Arial" w:ascii="Arial" w:hAnsi="Arial"/>
          <w:b/>
          <w:sz w:val="24"/>
          <w:szCs w:val="24"/>
        </w:rPr>
        <w:t>II -</w:t>
      </w:r>
      <w:r>
        <w:rPr>
          <w:rFonts w:cs="Arial" w:ascii="Arial" w:hAnsi="Arial"/>
          <w:sz w:val="24"/>
          <w:szCs w:val="24"/>
        </w:rPr>
        <w:t xml:space="preserve"> realização de receitas não previstas;</w:t>
      </w:r>
    </w:p>
    <w:p>
      <w:pPr>
        <w:pStyle w:val="Normal"/>
        <w:tabs>
          <w:tab w:val="clear" w:pos="708"/>
          <w:tab w:val="left" w:pos="0" w:leader="none"/>
          <w:tab w:val="left" w:pos="2880" w:leader="none"/>
        </w:tabs>
        <w:ind w:left="510" w:hanging="0"/>
        <w:jc w:val="both"/>
        <w:rPr>
          <w:rFonts w:ascii="Arial" w:hAnsi="Arial" w:cs="Arial"/>
          <w:sz w:val="24"/>
          <w:szCs w:val="24"/>
        </w:rPr>
      </w:pPr>
      <w:r>
        <w:rPr>
          <w:rFonts w:cs="Arial" w:ascii="Arial" w:hAnsi="Arial"/>
          <w:sz w:val="24"/>
          <w:szCs w:val="24"/>
        </w:rPr>
      </w:r>
    </w:p>
    <w:p>
      <w:pPr>
        <w:pStyle w:val="Normal"/>
        <w:tabs>
          <w:tab w:val="clear" w:pos="708"/>
          <w:tab w:val="left" w:pos="0" w:leader="none"/>
          <w:tab w:val="left" w:pos="2880" w:leader="none"/>
        </w:tabs>
        <w:ind w:left="510" w:hanging="0"/>
        <w:jc w:val="both"/>
        <w:rPr>
          <w:rFonts w:ascii="Arial" w:hAnsi="Arial" w:cs="Arial"/>
          <w:sz w:val="24"/>
          <w:szCs w:val="24"/>
        </w:rPr>
      </w:pPr>
      <w:r>
        <w:rPr>
          <w:rFonts w:cs="Arial" w:ascii="Arial" w:hAnsi="Arial"/>
          <w:b/>
          <w:sz w:val="24"/>
          <w:szCs w:val="24"/>
        </w:rPr>
        <w:t>III -</w:t>
      </w:r>
      <w:r>
        <w:rPr>
          <w:rFonts w:cs="Arial" w:ascii="Arial" w:hAnsi="Arial"/>
          <w:sz w:val="24"/>
          <w:szCs w:val="24"/>
        </w:rPr>
        <w:t xml:space="preserve"> realização de receita em montante inferior ao previsto; </w:t>
      </w:r>
    </w:p>
    <w:p>
      <w:pPr>
        <w:pStyle w:val="Normal"/>
        <w:tabs>
          <w:tab w:val="clear" w:pos="708"/>
          <w:tab w:val="left" w:pos="0" w:leader="none"/>
          <w:tab w:val="left" w:pos="2880" w:leader="none"/>
        </w:tabs>
        <w:ind w:left="510" w:hanging="0"/>
        <w:jc w:val="both"/>
        <w:rPr>
          <w:rFonts w:ascii="Arial" w:hAnsi="Arial" w:cs="Arial"/>
          <w:sz w:val="24"/>
          <w:szCs w:val="24"/>
        </w:rPr>
      </w:pPr>
      <w:r>
        <w:rPr>
          <w:rFonts w:cs="Arial" w:ascii="Arial" w:hAnsi="Arial"/>
          <w:sz w:val="24"/>
          <w:szCs w:val="24"/>
        </w:rPr>
      </w:r>
    </w:p>
    <w:p>
      <w:pPr>
        <w:pStyle w:val="Normal"/>
        <w:tabs>
          <w:tab w:val="clear" w:pos="708"/>
          <w:tab w:val="left" w:pos="0" w:leader="none"/>
          <w:tab w:val="left" w:pos="2880" w:leader="none"/>
        </w:tabs>
        <w:ind w:left="510" w:hanging="0"/>
        <w:jc w:val="both"/>
        <w:rPr>
          <w:rFonts w:ascii="Arial" w:hAnsi="Arial" w:cs="Arial"/>
          <w:sz w:val="24"/>
          <w:szCs w:val="24"/>
        </w:rPr>
      </w:pPr>
      <w:r>
        <w:rPr>
          <w:rFonts w:cs="Arial" w:ascii="Arial" w:hAnsi="Arial"/>
          <w:b/>
          <w:sz w:val="24"/>
          <w:szCs w:val="24"/>
        </w:rPr>
        <w:t>IV -</w:t>
      </w:r>
      <w:r>
        <w:rPr>
          <w:rFonts w:cs="Arial" w:ascii="Arial" w:hAnsi="Arial"/>
          <w:sz w:val="24"/>
          <w:szCs w:val="24"/>
        </w:rPr>
        <w:t xml:space="preserve"> calamidade pública por desastres da natureza, calamidade pública financeira, pandemia, endemia e situação de emergência, todas reconhecidas por leis específicas; </w:t>
      </w:r>
    </w:p>
    <w:p>
      <w:pPr>
        <w:pStyle w:val="Normal"/>
        <w:tabs>
          <w:tab w:val="clear" w:pos="708"/>
          <w:tab w:val="left" w:pos="0" w:leader="none"/>
          <w:tab w:val="left" w:pos="2880" w:leader="none"/>
        </w:tabs>
        <w:ind w:left="510" w:hanging="0"/>
        <w:jc w:val="both"/>
        <w:rPr>
          <w:rFonts w:ascii="Arial" w:hAnsi="Arial" w:cs="Arial"/>
          <w:sz w:val="24"/>
          <w:szCs w:val="24"/>
        </w:rPr>
      </w:pPr>
      <w:r>
        <w:rPr>
          <w:rFonts w:cs="Arial" w:ascii="Arial" w:hAnsi="Arial"/>
          <w:sz w:val="24"/>
          <w:szCs w:val="24"/>
        </w:rPr>
      </w:r>
    </w:p>
    <w:p>
      <w:pPr>
        <w:pStyle w:val="Normal"/>
        <w:tabs>
          <w:tab w:val="clear" w:pos="708"/>
          <w:tab w:val="left" w:pos="0" w:leader="none"/>
          <w:tab w:val="left" w:pos="2880" w:leader="none"/>
        </w:tabs>
        <w:ind w:left="510" w:hanging="0"/>
        <w:jc w:val="both"/>
        <w:rPr>
          <w:rFonts w:ascii="Arial" w:hAnsi="Arial" w:cs="Arial"/>
          <w:sz w:val="24"/>
          <w:szCs w:val="24"/>
        </w:rPr>
      </w:pPr>
      <w:r>
        <w:rPr>
          <w:rFonts w:cs="Arial" w:ascii="Arial" w:hAnsi="Arial"/>
          <w:b/>
          <w:sz w:val="24"/>
          <w:szCs w:val="24"/>
        </w:rPr>
        <w:t>V -</w:t>
      </w:r>
      <w:r>
        <w:rPr>
          <w:rFonts w:cs="Arial" w:ascii="Arial" w:hAnsi="Arial"/>
          <w:sz w:val="24"/>
          <w:szCs w:val="24"/>
        </w:rPr>
        <w:t xml:space="preserve"> alterações conjunturais da economia nacional e/ou estadual; </w:t>
      </w:r>
    </w:p>
    <w:p>
      <w:pPr>
        <w:pStyle w:val="Normal"/>
        <w:tabs>
          <w:tab w:val="clear" w:pos="708"/>
          <w:tab w:val="left" w:pos="0" w:leader="none"/>
          <w:tab w:val="left" w:pos="2880" w:leader="none"/>
        </w:tabs>
        <w:ind w:left="510" w:hanging="0"/>
        <w:jc w:val="both"/>
        <w:rPr>
          <w:rFonts w:ascii="Arial" w:hAnsi="Arial" w:cs="Arial"/>
          <w:sz w:val="24"/>
          <w:szCs w:val="24"/>
        </w:rPr>
      </w:pPr>
      <w:r>
        <w:rPr>
          <w:rFonts w:cs="Arial" w:ascii="Arial" w:hAnsi="Arial"/>
          <w:sz w:val="24"/>
          <w:szCs w:val="24"/>
        </w:rPr>
      </w:r>
    </w:p>
    <w:p>
      <w:pPr>
        <w:pStyle w:val="Normal"/>
        <w:tabs>
          <w:tab w:val="clear" w:pos="708"/>
          <w:tab w:val="left" w:pos="0" w:leader="none"/>
          <w:tab w:val="left" w:pos="2880" w:leader="none"/>
        </w:tabs>
        <w:ind w:left="510" w:hanging="0"/>
        <w:jc w:val="both"/>
        <w:rPr>
          <w:rFonts w:ascii="Arial" w:hAnsi="Arial" w:cs="Arial"/>
          <w:sz w:val="24"/>
          <w:szCs w:val="24"/>
        </w:rPr>
      </w:pPr>
      <w:r>
        <w:rPr>
          <w:rFonts w:cs="Arial" w:ascii="Arial" w:hAnsi="Arial"/>
          <w:b/>
          <w:sz w:val="24"/>
          <w:szCs w:val="24"/>
        </w:rPr>
        <w:t>VI -</w:t>
      </w:r>
      <w:r>
        <w:rPr>
          <w:rFonts w:cs="Arial" w:ascii="Arial" w:hAnsi="Arial"/>
          <w:sz w:val="24"/>
          <w:szCs w:val="24"/>
        </w:rPr>
        <w:t xml:space="preserve"> alterações na legislação municipal, estadual ou federal; </w:t>
      </w:r>
    </w:p>
    <w:p>
      <w:pPr>
        <w:pStyle w:val="Normal"/>
        <w:tabs>
          <w:tab w:val="clear" w:pos="708"/>
          <w:tab w:val="left" w:pos="0" w:leader="none"/>
          <w:tab w:val="left" w:pos="2880" w:leader="none"/>
        </w:tabs>
        <w:ind w:left="510" w:hanging="0"/>
        <w:jc w:val="both"/>
        <w:rPr>
          <w:rFonts w:ascii="Arial" w:hAnsi="Arial" w:cs="Arial"/>
          <w:sz w:val="24"/>
          <w:szCs w:val="24"/>
        </w:rPr>
      </w:pPr>
      <w:r>
        <w:rPr>
          <w:rFonts w:cs="Arial" w:ascii="Arial" w:hAnsi="Arial"/>
          <w:sz w:val="24"/>
          <w:szCs w:val="24"/>
        </w:rPr>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cs="Arial" w:ascii="Arial" w:hAnsi="Arial"/>
          <w:b/>
          <w:sz w:val="24"/>
          <w:szCs w:val="24"/>
        </w:rPr>
        <w:t>VII -</w:t>
      </w:r>
      <w:r>
        <w:rPr>
          <w:rFonts w:cs="Arial" w:ascii="Arial" w:hAnsi="Arial"/>
          <w:sz w:val="24"/>
          <w:szCs w:val="24"/>
        </w:rPr>
        <w:t xml:space="preserve"> promoção do equilíbrio econômico-financeiro, entre a execução das despesas e receitas orçamentárias, devidamente motivado, justificado e demonstrado.</w:t>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Art. 31</w:t>
      </w:r>
      <w:r>
        <w:rPr>
          <w:rFonts w:eastAsia="Calibri" w:cs="Arial" w:ascii="Arial" w:hAnsi="Arial"/>
          <w:sz w:val="24"/>
          <w:szCs w:val="24"/>
          <w:lang w:eastAsia="en-US"/>
        </w:rPr>
        <w:t xml:space="preserve"> - Na execução do orçamento, verificado que o comportamento da receita poderá afetar o cumprimento das metas de resultado primário e nominal, os Poderes Legislativo e Executivo, de forma proporcional as suas dotações e observadas a fonte de recursos, adotarão o mecanismo de limitação de empenhos e movimentação financeira nos montantes necessários, para as dotações abaixo, nos termos do art. 9º da LRF:</w:t>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360" w:leader="none"/>
          <w:tab w:val="left" w:pos="540" w:leader="none"/>
          <w:tab w:val="left" w:pos="396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 xml:space="preserve">I </w:t>
      </w:r>
      <w:r>
        <w:rPr>
          <w:rFonts w:eastAsia="Calibri" w:cs="Arial" w:ascii="Arial" w:hAnsi="Arial"/>
          <w:sz w:val="24"/>
          <w:szCs w:val="24"/>
          <w:lang w:eastAsia="en-US"/>
        </w:rPr>
        <w:tab/>
        <w:t xml:space="preserve">- </w:t>
        <w:tab/>
        <w:t>projetos ou atividades vinculadas a recursos oriundos de transferências voluntárias;</w:t>
      </w:r>
    </w:p>
    <w:p>
      <w:pPr>
        <w:pStyle w:val="Normal"/>
        <w:tabs>
          <w:tab w:val="clear" w:pos="708"/>
          <w:tab w:val="left" w:pos="0" w:leader="none"/>
          <w:tab w:val="left" w:pos="360" w:leader="none"/>
          <w:tab w:val="left" w:pos="540" w:leader="none"/>
          <w:tab w:val="left" w:pos="396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360" w:leader="none"/>
          <w:tab w:val="left" w:pos="396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 xml:space="preserve">II </w:t>
      </w:r>
      <w:r>
        <w:rPr>
          <w:rFonts w:eastAsia="Calibri" w:cs="Arial" w:ascii="Arial" w:hAnsi="Arial"/>
          <w:sz w:val="24"/>
          <w:szCs w:val="24"/>
          <w:lang w:eastAsia="en-US"/>
        </w:rPr>
        <w:tab/>
        <w:t>- obras em geral, desde que ainda não iniciadas;</w:t>
      </w:r>
    </w:p>
    <w:p>
      <w:pPr>
        <w:pStyle w:val="Normal"/>
        <w:tabs>
          <w:tab w:val="clear" w:pos="708"/>
          <w:tab w:val="left" w:pos="0" w:leader="none"/>
          <w:tab w:val="left" w:pos="360" w:leader="none"/>
          <w:tab w:val="left" w:pos="396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360" w:leader="none"/>
          <w:tab w:val="left" w:pos="396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 xml:space="preserve">III </w:t>
      </w:r>
      <w:r>
        <w:rPr>
          <w:rFonts w:eastAsia="Calibri" w:cs="Arial" w:ascii="Arial" w:hAnsi="Arial"/>
          <w:sz w:val="24"/>
          <w:szCs w:val="24"/>
          <w:lang w:eastAsia="en-US"/>
        </w:rPr>
        <w:tab/>
        <w:t>- dotação para combustíveis, obras, serviços públicos e agricultura; e</w:t>
      </w:r>
    </w:p>
    <w:p>
      <w:pPr>
        <w:pStyle w:val="Normal"/>
        <w:tabs>
          <w:tab w:val="clear" w:pos="708"/>
          <w:tab w:val="left" w:pos="0" w:leader="none"/>
          <w:tab w:val="left" w:pos="360" w:leader="none"/>
          <w:tab w:val="left" w:pos="396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360" w:leader="none"/>
          <w:tab w:val="left" w:pos="396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 xml:space="preserve">IV </w:t>
      </w:r>
      <w:r>
        <w:rPr>
          <w:rFonts w:eastAsia="Calibri" w:cs="Arial" w:ascii="Arial" w:hAnsi="Arial"/>
          <w:sz w:val="24"/>
          <w:szCs w:val="24"/>
          <w:lang w:eastAsia="en-US"/>
        </w:rPr>
        <w:tab/>
        <w:t>- dotação para material de consumo e outros serviços de terceiros das diversas atividades.</w:t>
      </w:r>
    </w:p>
    <w:p>
      <w:pPr>
        <w:pStyle w:val="Normal"/>
        <w:tabs>
          <w:tab w:val="clear" w:pos="708"/>
          <w:tab w:val="left" w:pos="0" w:leader="none"/>
          <w:tab w:val="left" w:pos="360" w:leader="none"/>
          <w:tab w:val="left" w:pos="396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snapToGrid w:val="false"/>
        <w:ind w:left="510" w:firstLine="540"/>
        <w:jc w:val="both"/>
        <w:rPr>
          <w:rFonts w:ascii="Arial" w:hAnsi="Arial" w:cs="Arial"/>
          <w:sz w:val="24"/>
          <w:szCs w:val="24"/>
        </w:rPr>
      </w:pPr>
      <w:r>
        <w:rPr>
          <w:rFonts w:cs="Arial" w:ascii="Arial" w:hAnsi="Arial"/>
          <w:b/>
          <w:bCs/>
          <w:color w:val="000000"/>
          <w:sz w:val="24"/>
          <w:szCs w:val="24"/>
        </w:rPr>
        <w:t xml:space="preserve">  </w:t>
      </w:r>
      <w:r>
        <w:rPr>
          <w:rFonts w:cs="Arial" w:ascii="Arial" w:hAnsi="Arial"/>
          <w:b/>
          <w:bCs/>
          <w:color w:val="000000"/>
          <w:sz w:val="24"/>
          <w:szCs w:val="24"/>
        </w:rPr>
        <w:t>§ 1º</w:t>
      </w:r>
      <w:r>
        <w:rPr>
          <w:rFonts w:cs="Arial" w:ascii="Arial" w:hAnsi="Arial"/>
          <w:color w:val="000000"/>
          <w:sz w:val="24"/>
          <w:szCs w:val="24"/>
        </w:rPr>
        <w:t xml:space="preserve"> - Na hipótese de ocorrência do disposto no </w:t>
      </w:r>
      <w:r>
        <w:rPr>
          <w:rFonts w:cs="Arial" w:ascii="Arial" w:hAnsi="Arial"/>
          <w:i/>
          <w:color w:val="000000"/>
          <w:sz w:val="24"/>
          <w:szCs w:val="24"/>
        </w:rPr>
        <w:t>caput</w:t>
      </w:r>
      <w:r>
        <w:rPr>
          <w:rFonts w:cs="Arial" w:ascii="Arial" w:hAnsi="Arial"/>
          <w:color w:val="000000"/>
          <w:sz w:val="24"/>
          <w:szCs w:val="24"/>
        </w:rPr>
        <w:t xml:space="preserve"> deste artigo o Poder Executivo comunicará ao Poder Legislativo o montante que lhe caberá tornar indisponível para empenho e movimentação financeira.</w:t>
      </w:r>
    </w:p>
    <w:p>
      <w:pPr>
        <w:pStyle w:val="Normal"/>
        <w:snapToGrid w:val="false"/>
        <w:ind w:left="510" w:firstLine="900"/>
        <w:jc w:val="both"/>
        <w:rPr>
          <w:rFonts w:ascii="Arial" w:hAnsi="Arial" w:cs="Arial"/>
          <w:color w:val="000000"/>
          <w:sz w:val="24"/>
          <w:szCs w:val="24"/>
        </w:rPr>
      </w:pPr>
      <w:r>
        <w:rPr>
          <w:rFonts w:cs="Arial" w:ascii="Arial" w:hAnsi="Arial"/>
          <w:color w:val="000000"/>
          <w:sz w:val="24"/>
          <w:szCs w:val="24"/>
        </w:rPr>
      </w:r>
    </w:p>
    <w:p>
      <w:pPr>
        <w:pStyle w:val="Normal"/>
        <w:snapToGrid w:val="false"/>
        <w:ind w:left="510" w:hanging="0"/>
        <w:jc w:val="both"/>
        <w:rPr>
          <w:rFonts w:ascii="Arial" w:hAnsi="Arial" w:cs="Arial"/>
          <w:bCs/>
          <w:sz w:val="24"/>
          <w:szCs w:val="24"/>
        </w:rPr>
      </w:pPr>
      <w:r>
        <w:rPr>
          <w:rFonts w:cs="Arial" w:ascii="Arial" w:hAnsi="Arial"/>
          <w:b/>
          <w:bCs/>
          <w:color w:val="000000"/>
          <w:sz w:val="24"/>
          <w:szCs w:val="24"/>
        </w:rPr>
        <w:t xml:space="preserve">  </w:t>
      </w:r>
      <w:r>
        <w:rPr>
          <w:rFonts w:cs="Arial" w:ascii="Arial" w:hAnsi="Arial"/>
          <w:b/>
          <w:bCs/>
          <w:color w:val="000000"/>
          <w:sz w:val="24"/>
          <w:szCs w:val="24"/>
        </w:rPr>
        <w:t>§ 2º –</w:t>
      </w:r>
      <w:r>
        <w:rPr>
          <w:rFonts w:cs="Arial" w:ascii="Arial" w:hAnsi="Arial"/>
          <w:color w:val="000000"/>
          <w:sz w:val="24"/>
          <w:szCs w:val="24"/>
        </w:rPr>
        <w:t xml:space="preserve"> Na avaliação do cumprimento das metas bimestrais de arrecadação para implementação ou não do mecanismo da limitação de empenho e movimentação financeira, será considerado ainda o resultado financeiro apurado no Balanço Patrimonial do exercício anterior.</w:t>
      </w:r>
      <w:r>
        <w:rPr>
          <w:rStyle w:val="Negrito"/>
          <w:rFonts w:cs="Arial" w:ascii="Arial" w:hAnsi="Arial"/>
          <w:sz w:val="24"/>
          <w:szCs w:val="24"/>
        </w:rPr>
        <w:tab/>
      </w:r>
    </w:p>
    <w:p>
      <w:pPr>
        <w:pStyle w:val="Normal"/>
        <w:tabs>
          <w:tab w:val="clear" w:pos="708"/>
          <w:tab w:val="left" w:pos="0" w:leader="none"/>
          <w:tab w:val="left" w:pos="540" w:leader="none"/>
          <w:tab w:val="left" w:pos="396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tab/>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Art. 32 -</w:t>
      </w:r>
      <w:r>
        <w:rPr>
          <w:rFonts w:eastAsia="Calibri" w:cs="Arial" w:ascii="Arial" w:hAnsi="Arial"/>
          <w:sz w:val="24"/>
          <w:szCs w:val="24"/>
          <w:lang w:eastAsia="en-US"/>
        </w:rPr>
        <w:t xml:space="preserve"> Constituem Riscos Fiscais capazes de afetar o equilíbrio das contas públicas do Município, aqueles constantes do Anexo Próprio desta Lei, nos termos do art. 4º, § 3º da LRF. </w:t>
      </w:r>
    </w:p>
    <w:p>
      <w:pPr>
        <w:pStyle w:val="Normal"/>
        <w:tabs>
          <w:tab w:val="clear" w:pos="708"/>
          <w:tab w:val="left" w:pos="0" w:leader="none"/>
          <w:tab w:val="left" w:pos="540" w:leader="none"/>
          <w:tab w:val="left" w:pos="396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 Único:</w:t>
      </w:r>
      <w:r>
        <w:rPr>
          <w:rFonts w:eastAsia="Calibri" w:cs="Arial" w:ascii="Arial" w:hAnsi="Arial"/>
          <w:sz w:val="24"/>
          <w:szCs w:val="24"/>
          <w:lang w:eastAsia="en-US"/>
        </w:rPr>
        <w:t xml:space="preserve"> Os riscos fiscais, caso se concretizem, serão atendidos com recursos constantes do Artigo 43 da Lei Federal Nº 4.320/1964.</w:t>
      </w:r>
    </w:p>
    <w:p>
      <w:pPr>
        <w:pStyle w:val="Normal"/>
        <w:tabs>
          <w:tab w:val="clear" w:pos="708"/>
          <w:tab w:val="left" w:pos="0" w:leader="none"/>
          <w:tab w:val="left" w:pos="540" w:leader="none"/>
          <w:tab w:val="left" w:pos="396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Art. 33 -</w:t>
      </w:r>
      <w:r>
        <w:rPr>
          <w:rFonts w:eastAsia="Calibri" w:cs="Arial" w:ascii="Arial" w:hAnsi="Arial"/>
          <w:sz w:val="24"/>
          <w:szCs w:val="24"/>
          <w:lang w:eastAsia="en-US"/>
        </w:rPr>
        <w:t xml:space="preserve"> O Orçamento para o exercício de 2025 poderá destinar recursos para a Reserva de Contingência, até 2% (três por cento) das Receitas Correntes Líquidas previstas no orçamento total. </w:t>
      </w:r>
    </w:p>
    <w:p>
      <w:pPr>
        <w:pStyle w:val="Normal"/>
        <w:tabs>
          <w:tab w:val="clear" w:pos="708"/>
          <w:tab w:val="left" w:pos="0" w:leader="none"/>
          <w:tab w:val="left" w:pos="540" w:leader="none"/>
          <w:tab w:val="left" w:pos="396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 Único -</w:t>
      </w:r>
      <w:r>
        <w:rPr>
          <w:rFonts w:eastAsia="Calibri" w:cs="Arial" w:ascii="Arial" w:hAnsi="Arial"/>
          <w:sz w:val="24"/>
          <w:szCs w:val="24"/>
          <w:lang w:eastAsia="en-US"/>
        </w:rPr>
        <w:t xml:space="preserve"> Os recursos da Reserva de Contingência serão destinados ao atendimento de passivos contingentes e outros riscos e eventos fiscais imprevistos, obtenção de resultado primário positivo se for o caso, e também para abertura de Créditos Adicionais Suplementares de dotações que se tornarem insuficientes, conforme disposto na Portaria MPO nº 42/1999, art. 5º e Portaria STN nº 163/2001, art. 8º, nos termos do art. 5º, III, “b” da LRF.</w:t>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Art. 34 -</w:t>
      </w:r>
      <w:r>
        <w:rPr>
          <w:rFonts w:eastAsia="Calibri" w:cs="Arial" w:ascii="Arial" w:hAnsi="Arial"/>
          <w:sz w:val="24"/>
          <w:szCs w:val="24"/>
          <w:lang w:eastAsia="en-US"/>
        </w:rPr>
        <w:t xml:space="preserve"> Os investimentos com duração superior a 12 meses só constarão da Lei Orçamentária Anual se contemplados no Plano Plurianual, nos termos do art. 5º, § 5º da LRF.</w:t>
      </w:r>
    </w:p>
    <w:p>
      <w:pPr>
        <w:pStyle w:val="Normal"/>
        <w:tabs>
          <w:tab w:val="clear" w:pos="708"/>
          <w:tab w:val="left" w:pos="0" w:leader="none"/>
          <w:tab w:val="left" w:pos="540" w:leader="none"/>
          <w:tab w:val="left" w:pos="396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Art. 35 -</w:t>
      </w:r>
      <w:r>
        <w:rPr>
          <w:rFonts w:eastAsia="Calibri" w:cs="Arial" w:ascii="Arial" w:hAnsi="Arial"/>
          <w:sz w:val="24"/>
          <w:szCs w:val="24"/>
          <w:lang w:eastAsia="en-US"/>
        </w:rPr>
        <w:t xml:space="preserve"> O Chefe do Poder Executivo Municipal estabelecerá até 30 dias após a publicação da Lei Orçamentária Anual, a programação financeira das receitas e despesas e o cronograma de execução mensal ou bimestral para as Unidades Gestoras, se for o caso, nos termos do art. 8º da LRF.</w:t>
      </w:r>
    </w:p>
    <w:p>
      <w:pPr>
        <w:pStyle w:val="Normal"/>
        <w:tabs>
          <w:tab w:val="clear" w:pos="708"/>
          <w:tab w:val="left" w:pos="0" w:leader="none"/>
          <w:tab w:val="left" w:pos="540" w:leader="none"/>
          <w:tab w:val="left" w:pos="396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Art. 36 -</w:t>
      </w:r>
      <w:r>
        <w:rPr>
          <w:rFonts w:eastAsia="Calibri" w:cs="Arial" w:ascii="Arial" w:hAnsi="Arial"/>
          <w:sz w:val="24"/>
          <w:szCs w:val="24"/>
          <w:lang w:eastAsia="en-US"/>
        </w:rPr>
        <w:t xml:space="preserve"> Os Projetos e Atividades priorizados na Lei Orçamentária para 2025 com dotações vinculadas e fontes de recursos oriundos de transferências voluntárias, operações de crédito, alienação de bens e outras extraordinárias, só serão executados e utilizados a qualquer título, se ocorrer ou estiver garantido o seu ingresso no fluxo de caixa, respeitado ainda o montante ingressado ou garantido, nos termos do art. 8º, § único e 50, I da LRF.</w:t>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 xml:space="preserve"> </w:t>
      </w:r>
      <w:r>
        <w:rPr>
          <w:rFonts w:eastAsia="Calibri" w:cs="Arial" w:ascii="Arial" w:hAnsi="Arial"/>
          <w:b/>
          <w:sz w:val="24"/>
          <w:szCs w:val="24"/>
          <w:lang w:eastAsia="en-US"/>
        </w:rPr>
        <w:t>Art. 37 -</w:t>
      </w:r>
      <w:r>
        <w:rPr>
          <w:rFonts w:eastAsia="Calibri" w:cs="Arial" w:ascii="Arial" w:hAnsi="Arial"/>
          <w:sz w:val="24"/>
          <w:szCs w:val="24"/>
          <w:lang w:eastAsia="en-US"/>
        </w:rPr>
        <w:t xml:space="preserve"> A renúncia de receita estimada para o exercício de 2025, constante do Anexo Próprio desta Lei, não será considerada para efeito de cálculo do orçamento da receita, nos termos do art. 4º, § 2º, V e art. 14, I da LRF.</w:t>
      </w:r>
    </w:p>
    <w:p>
      <w:pPr>
        <w:pStyle w:val="Normal"/>
        <w:tabs>
          <w:tab w:val="clear" w:pos="708"/>
          <w:tab w:val="left" w:pos="0" w:leader="none"/>
          <w:tab w:val="left" w:pos="540" w:leader="none"/>
          <w:tab w:val="left" w:pos="396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Art. 38 -</w:t>
      </w:r>
      <w:r>
        <w:rPr>
          <w:rFonts w:eastAsia="Calibri" w:cs="Arial" w:ascii="Arial" w:hAnsi="Arial"/>
          <w:sz w:val="24"/>
          <w:szCs w:val="24"/>
          <w:lang w:eastAsia="en-US"/>
        </w:rPr>
        <w:t xml:space="preserve"> A transferência de recursos do Tesouro Municipal a entidades privadas, beneficiará somente aquelas de caráter educativo, assistencial, recreativo, cultural, esportivo, de cooperação técnica e voltada para promoção da saúde e o fortalecimento do associativismo municipal e dependerá de autorização em lei específica, nos termos do art.4º, I, “f”, e26 da LRF.</w:t>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cs="Arial" w:ascii="Arial" w:hAnsi="Arial"/>
          <w:b/>
          <w:bCs/>
          <w:color w:val="000000"/>
          <w:sz w:val="24"/>
          <w:szCs w:val="24"/>
        </w:rPr>
        <w:t>§ 1º -</w:t>
      </w:r>
      <w:r>
        <w:rPr>
          <w:rFonts w:cs="Arial" w:ascii="Arial" w:hAnsi="Arial"/>
          <w:color w:val="000000"/>
          <w:sz w:val="24"/>
          <w:szCs w:val="24"/>
        </w:rPr>
        <w:t xml:space="preserve"> Para habilitar-se ao recebimento de recursos referidos no caput, a entidade privada sem fins lucrativos deverá apresentar declaração de funcionamento regular e comprovante de regularidade do mandato de sua diretoria.</w:t>
      </w:r>
    </w:p>
    <w:p>
      <w:pPr>
        <w:pStyle w:val="Normal"/>
        <w:snapToGrid w:val="false"/>
        <w:ind w:left="510" w:firstLine="900"/>
        <w:jc w:val="both"/>
        <w:rPr>
          <w:rFonts w:ascii="Arial" w:hAnsi="Arial" w:cs="Arial"/>
          <w:color w:val="000000"/>
          <w:sz w:val="24"/>
          <w:szCs w:val="24"/>
        </w:rPr>
      </w:pPr>
      <w:r>
        <w:rPr>
          <w:rFonts w:cs="Arial" w:ascii="Arial" w:hAnsi="Arial"/>
          <w:color w:val="000000"/>
          <w:sz w:val="24"/>
          <w:szCs w:val="24"/>
        </w:rPr>
      </w:r>
    </w:p>
    <w:p>
      <w:pPr>
        <w:pStyle w:val="Normal"/>
        <w:snapToGrid w:val="false"/>
        <w:ind w:left="510" w:firstLine="540"/>
        <w:jc w:val="both"/>
        <w:rPr>
          <w:rFonts w:ascii="Arial" w:hAnsi="Arial" w:cs="Arial"/>
          <w:sz w:val="24"/>
          <w:szCs w:val="24"/>
        </w:rPr>
      </w:pPr>
      <w:r>
        <w:rPr>
          <w:rFonts w:cs="Arial" w:ascii="Arial" w:hAnsi="Arial"/>
          <w:b/>
          <w:bCs/>
          <w:sz w:val="24"/>
          <w:szCs w:val="24"/>
        </w:rPr>
        <w:t xml:space="preserve"> </w:t>
      </w:r>
      <w:r>
        <w:rPr>
          <w:rFonts w:cs="Arial" w:ascii="Arial" w:hAnsi="Arial"/>
          <w:b/>
          <w:bCs/>
          <w:sz w:val="24"/>
          <w:szCs w:val="24"/>
        </w:rPr>
        <w:t>§ 2º -</w:t>
      </w:r>
      <w:r>
        <w:rPr>
          <w:rFonts w:cs="Arial" w:ascii="Arial" w:hAnsi="Arial"/>
          <w:sz w:val="24"/>
          <w:szCs w:val="24"/>
        </w:rPr>
        <w:t xml:space="preserve"> As entidades privadas beneficiadas com recursos públicos municipais, a qualquer título, submeter-se-ão à fiscalização do Poder Público com a finalidade de verificar o cumprimento de metas e objetivos para os quais receberam os recursos.</w:t>
      </w:r>
    </w:p>
    <w:p>
      <w:pPr>
        <w:pStyle w:val="Normal"/>
        <w:snapToGrid w:val="false"/>
        <w:ind w:left="510" w:firstLine="540"/>
        <w:jc w:val="both"/>
        <w:rPr>
          <w:rFonts w:ascii="Arial" w:hAnsi="Arial" w:cs="Arial"/>
          <w:sz w:val="24"/>
          <w:szCs w:val="24"/>
        </w:rPr>
      </w:pPr>
      <w:r>
        <w:rPr>
          <w:rFonts w:cs="Arial" w:ascii="Arial" w:hAnsi="Arial"/>
          <w:sz w:val="24"/>
          <w:szCs w:val="24"/>
        </w:rPr>
      </w:r>
    </w:p>
    <w:p>
      <w:pPr>
        <w:pStyle w:val="Normal"/>
        <w:snapToGrid w:val="false"/>
        <w:ind w:left="510" w:firstLine="540"/>
        <w:jc w:val="both"/>
        <w:rPr>
          <w:rFonts w:ascii="Arial" w:hAnsi="Arial" w:cs="Arial"/>
          <w:sz w:val="24"/>
          <w:szCs w:val="24"/>
        </w:rPr>
      </w:pPr>
      <w:r>
        <w:rPr>
          <w:rFonts w:cs="Arial" w:ascii="Arial" w:hAnsi="Arial"/>
          <w:b/>
          <w:bCs/>
          <w:sz w:val="24"/>
          <w:szCs w:val="24"/>
        </w:rPr>
        <w:t>§ 3º</w:t>
      </w:r>
      <w:r>
        <w:rPr>
          <w:rFonts w:cs="Arial" w:ascii="Arial" w:hAnsi="Arial"/>
          <w:sz w:val="24"/>
          <w:szCs w:val="24"/>
        </w:rPr>
        <w:t xml:space="preserve"> - Não se aplica o disposto neste artigo, as contribuições estatutárias devidas às entidades municipalistas, em que o Município for associado.</w:t>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Art. 39 -</w:t>
      </w:r>
      <w:r>
        <w:rPr>
          <w:rFonts w:eastAsia="Calibri" w:cs="Arial" w:ascii="Arial" w:hAnsi="Arial"/>
          <w:sz w:val="24"/>
          <w:szCs w:val="24"/>
          <w:lang w:eastAsia="en-US"/>
        </w:rPr>
        <w:t xml:space="preserve"> Os procedimentos administrativos de estimativa do impacto orçamentário-financeiro e declaração do ordenador da despesa de que trata o art. 16, itens I e II da LRF deverão ser inseridos no processo que abriga os autos da licitação ou sua dispensa/inexigibilidade. </w:t>
      </w:r>
    </w:p>
    <w:p>
      <w:pPr>
        <w:pStyle w:val="Normal"/>
        <w:tabs>
          <w:tab w:val="clear" w:pos="708"/>
          <w:tab w:val="left" w:pos="0" w:leader="none"/>
          <w:tab w:val="left" w:pos="540" w:leader="none"/>
          <w:tab w:val="left" w:pos="396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 Único -</w:t>
      </w:r>
      <w:r>
        <w:rPr>
          <w:rFonts w:eastAsia="Calibri" w:cs="Arial" w:ascii="Arial" w:hAnsi="Arial"/>
          <w:sz w:val="24"/>
          <w:szCs w:val="24"/>
          <w:lang w:eastAsia="en-US"/>
        </w:rPr>
        <w:t xml:space="preserve"> Para efeito do disposto no art. 16, § 3º da LRF, são consideradas despesas irrelevantes, aquelas decorrentes da criação, expansão ou aperfeiçoamento da ação governamental que acarrete aumento da despesa, cujo montante no exercício financeiro de 2025, em cada evento, não exceda ao valor limite para dispensa de licitação, fixado no inciso I do art. 75 da Lei Federal nº 14.133/21, devidamente atualizado. </w:t>
      </w:r>
    </w:p>
    <w:p>
      <w:pPr>
        <w:pStyle w:val="Normal"/>
        <w:tabs>
          <w:tab w:val="clear" w:pos="708"/>
          <w:tab w:val="left" w:pos="0" w:leader="none"/>
          <w:tab w:val="left" w:pos="540" w:leader="none"/>
          <w:tab w:val="left" w:pos="396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Art. 40 -</w:t>
      </w:r>
      <w:r>
        <w:rPr>
          <w:rFonts w:eastAsia="Calibri" w:cs="Arial" w:ascii="Arial" w:hAnsi="Arial"/>
          <w:sz w:val="24"/>
          <w:szCs w:val="24"/>
          <w:lang w:eastAsia="en-US"/>
        </w:rPr>
        <w:t xml:space="preserve"> As obras em andamento e a conservação do patrimônio público terão prioridade sobre projetos novos na alocação de recursos orçamentários, salvo projetos programados com recursos de transferência voluntária e operação de crédito, nos termos do art. 45 da LRF.</w:t>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Art. 41 -</w:t>
      </w:r>
      <w:r>
        <w:rPr>
          <w:rFonts w:eastAsia="Calibri" w:cs="Arial" w:ascii="Arial" w:hAnsi="Arial"/>
          <w:sz w:val="24"/>
          <w:szCs w:val="24"/>
          <w:lang w:eastAsia="en-US"/>
        </w:rPr>
        <w:t xml:space="preserve"> Despesas de competência de outros entes da federação só serão assumidas pela Administração Municipal quando firmados convênios, acordos ou ajustes e previstos recursos na lei orçamentária, nos termos do art. 62 da LRF.</w:t>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Art. 42 -</w:t>
      </w:r>
      <w:r>
        <w:rPr>
          <w:rFonts w:eastAsia="Calibri" w:cs="Arial" w:ascii="Arial" w:hAnsi="Arial"/>
          <w:sz w:val="24"/>
          <w:szCs w:val="24"/>
          <w:lang w:eastAsia="en-US"/>
        </w:rPr>
        <w:t xml:space="preserve"> A previsão das receitas e a fixação das despesas serão orçadas para 2025 a preços correntes.</w:t>
      </w:r>
    </w:p>
    <w:p>
      <w:pPr>
        <w:pStyle w:val="Normal"/>
        <w:tabs>
          <w:tab w:val="clear" w:pos="708"/>
          <w:tab w:val="left" w:pos="0" w:leader="none"/>
          <w:tab w:val="left" w:pos="540" w:leader="none"/>
          <w:tab w:val="left" w:pos="396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Art. 43 -</w:t>
      </w:r>
      <w:r>
        <w:rPr>
          <w:rFonts w:eastAsia="Calibri" w:cs="Arial" w:ascii="Arial" w:hAnsi="Arial"/>
          <w:sz w:val="24"/>
          <w:szCs w:val="24"/>
          <w:lang w:eastAsia="en-US"/>
        </w:rPr>
        <w:t xml:space="preserve"> A execução do orçamento da despesa obedecerá, dentro de cada Projeto, Atividade ou Operações Especiais, a dotação fixada para cada Grupo de Natureza de Despesa / Modalidade de Aplicação, com apropriação dos gastos nos respectivos elementos de que trata a Portaria STN nº 163/2001.</w:t>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snapToGrid w:val="false"/>
        <w:ind w:left="510" w:firstLine="708"/>
        <w:jc w:val="both"/>
        <w:rPr>
          <w:rFonts w:ascii="Arial" w:hAnsi="Arial" w:cs="Arial"/>
          <w:sz w:val="24"/>
          <w:szCs w:val="24"/>
        </w:rPr>
      </w:pPr>
      <w:r>
        <w:rPr>
          <w:rFonts w:cs="Arial" w:ascii="Arial" w:hAnsi="Arial"/>
          <w:b/>
          <w:bCs/>
          <w:sz w:val="24"/>
          <w:szCs w:val="24"/>
        </w:rPr>
        <w:t>Art. 44 -</w:t>
      </w:r>
      <w:r>
        <w:rPr>
          <w:rFonts w:cs="Arial" w:ascii="Arial" w:hAnsi="Arial"/>
          <w:color w:val="000000"/>
          <w:sz w:val="24"/>
          <w:szCs w:val="24"/>
        </w:rPr>
        <w:t>Fica o Poder Executivo autorizado a promover as alterações e adequações de sua estrutura administrativa, desde que sem aumento de despesa, e com o objetivo de modernizar e conferir maior eficiência e eficácia ao poder público municipal.</w:t>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 Único -</w:t>
      </w:r>
      <w:r>
        <w:rPr>
          <w:rFonts w:eastAsia="Calibri" w:cs="Arial" w:ascii="Arial" w:hAnsi="Arial"/>
          <w:sz w:val="24"/>
          <w:szCs w:val="24"/>
          <w:lang w:eastAsia="en-US"/>
        </w:rPr>
        <w:t xml:space="preserve"> A transposição, o remanejamento ou a transferência de recursos de um Grupo de Natureza de Despesa/Modalidade de Aplicação para outro, dentro de cada Projeto, Atividade ou Operações Especiais, poderá ser feita por Decreto do Prefeito Municipal no âmbito do Poder Executivo e por Decreto Legislativo do Presidente da Câmara no âmbito do Poder Legislativo, nos termos do art. 167, VI da Constituição Federal.</w:t>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Art. 45-</w:t>
      </w:r>
      <w:r>
        <w:rPr>
          <w:rFonts w:eastAsia="Calibri" w:cs="Arial" w:ascii="Arial" w:hAnsi="Arial"/>
          <w:sz w:val="24"/>
          <w:szCs w:val="24"/>
          <w:lang w:eastAsia="en-US"/>
        </w:rPr>
        <w:t xml:space="preserve"> Durante a execução orçamentária de 2025, se o Poder Executivo Municipal for autorizado por lei, poderá incluir novos projetos, atividades ou operações especiais no orçamento das Unidades Gestoras na forma de crédito especial, desde que se enquadre nas prioridades para o exercício de 2025.</w:t>
      </w:r>
    </w:p>
    <w:p>
      <w:pPr>
        <w:pStyle w:val="Normal"/>
        <w:tabs>
          <w:tab w:val="clear" w:pos="708"/>
          <w:tab w:val="left" w:pos="0" w:leader="none"/>
          <w:tab w:val="left" w:pos="540" w:leader="none"/>
          <w:tab w:val="left" w:pos="396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Art. 46 -</w:t>
      </w:r>
      <w:r>
        <w:rPr>
          <w:rFonts w:eastAsia="Calibri" w:cs="Arial" w:ascii="Arial" w:hAnsi="Arial"/>
          <w:sz w:val="24"/>
          <w:szCs w:val="24"/>
          <w:lang w:eastAsia="en-US"/>
        </w:rPr>
        <w:t xml:space="preserve"> O controle de custos das ações desenvolvidas pelo Poder Público Municipal, obedecerá ao estabelecido no art. 50, § 3º da LRF.</w:t>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 Único -</w:t>
      </w:r>
      <w:r>
        <w:rPr>
          <w:rFonts w:eastAsia="Calibri" w:cs="Arial" w:ascii="Arial" w:hAnsi="Arial"/>
          <w:sz w:val="24"/>
          <w:szCs w:val="24"/>
          <w:lang w:eastAsia="en-US"/>
        </w:rPr>
        <w:t xml:space="preserve"> Os custos serão apurados através de operações orçamentárias, tomando-se por base as metas fiscais previstas nas planilhas das despesas e nas metas físicas realizadas e apuradas ao final do exercício, nos termos do art. 4º, “e”.</w:t>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Art. 47 -</w:t>
      </w:r>
      <w:r>
        <w:rPr>
          <w:rFonts w:eastAsia="Calibri" w:cs="Arial" w:ascii="Arial" w:hAnsi="Arial"/>
          <w:sz w:val="24"/>
          <w:szCs w:val="24"/>
          <w:lang w:eastAsia="en-US"/>
        </w:rPr>
        <w:t xml:space="preserve"> Os programas priorizados por esta Lei e contemplados no Plano Plurianual, que integrarem a Lei Orçamentária de 2025 serão objeto de avaliação permanente pelos responsáveis, de modo a acompanhar o cumprimento dos seus objetivos, corrigir desvios e avaliar seus custos e cumprimento das metas físicas estabelecidas </w:t>
      </w:r>
      <w:r>
        <w:rPr>
          <w:rFonts w:cs="Arial" w:ascii="Arial" w:hAnsi="Arial"/>
          <w:sz w:val="24"/>
          <w:szCs w:val="24"/>
          <w:lang w:eastAsia="pt-BR"/>
        </w:rPr>
        <w:t>nos termos do art. 4º, I, "e" da LRF</w:t>
      </w:r>
      <w:r>
        <w:rPr>
          <w:rFonts w:eastAsia="Calibri" w:cs="Arial" w:ascii="Arial" w:hAnsi="Arial"/>
          <w:sz w:val="24"/>
          <w:szCs w:val="24"/>
          <w:lang w:eastAsia="en-US"/>
        </w:rPr>
        <w:t>.</w:t>
      </w:r>
    </w:p>
    <w:p>
      <w:pPr>
        <w:pStyle w:val="Normal"/>
        <w:tabs>
          <w:tab w:val="clear" w:pos="708"/>
          <w:tab w:val="left" w:pos="720" w:leader="none"/>
        </w:tabs>
        <w:snapToGrid w:val="false"/>
        <w:ind w:left="510" w:hanging="0"/>
        <w:jc w:val="both"/>
        <w:rPr>
          <w:rFonts w:ascii="Arial" w:hAnsi="Arial" w:cs="Arial"/>
          <w:sz w:val="24"/>
          <w:szCs w:val="24"/>
        </w:rPr>
      </w:pPr>
      <w:r>
        <w:rPr>
          <w:rFonts w:cs="Arial" w:ascii="Arial" w:hAnsi="Arial"/>
          <w:sz w:val="24"/>
          <w:szCs w:val="24"/>
        </w:rPr>
        <w:tab/>
        <w:tab/>
        <w:tab/>
      </w:r>
    </w:p>
    <w:p>
      <w:pPr>
        <w:pStyle w:val="Normal"/>
        <w:tabs>
          <w:tab w:val="clear" w:pos="708"/>
          <w:tab w:val="left" w:pos="720" w:leader="none"/>
        </w:tabs>
        <w:snapToGrid w:val="false"/>
        <w:ind w:left="510" w:hanging="0"/>
        <w:jc w:val="both"/>
        <w:rPr>
          <w:rFonts w:ascii="Arial" w:hAnsi="Arial" w:cs="Arial"/>
          <w:color w:val="000000"/>
          <w:sz w:val="24"/>
          <w:szCs w:val="24"/>
        </w:rPr>
      </w:pPr>
      <w:r>
        <w:rPr>
          <w:rFonts w:cs="Arial" w:ascii="Arial" w:hAnsi="Arial"/>
          <w:b/>
          <w:bCs/>
          <w:sz w:val="24"/>
          <w:szCs w:val="24"/>
        </w:rPr>
        <w:t>Art. 48 -</w:t>
      </w:r>
      <w:r>
        <w:rPr>
          <w:rFonts w:cs="Arial" w:ascii="Arial" w:hAnsi="Arial"/>
          <w:color w:val="000000"/>
          <w:sz w:val="24"/>
          <w:szCs w:val="24"/>
        </w:rPr>
        <w:t>Observadas as prioridades a que se refere o artigo 19 desta lei, a Lei Orçamentária ou as de créditos adicionais, somente incluirão novos projetos e despesas obrigatórias de duração continuada, a cargo da Administração Direta e dos fundos especiais, se:</w:t>
      </w:r>
    </w:p>
    <w:p>
      <w:pPr>
        <w:pStyle w:val="Normal"/>
        <w:tabs>
          <w:tab w:val="clear" w:pos="708"/>
          <w:tab w:val="left" w:pos="720" w:leader="none"/>
        </w:tabs>
        <w:snapToGrid w:val="false"/>
        <w:ind w:left="510" w:hanging="0"/>
        <w:jc w:val="both"/>
        <w:rPr>
          <w:rFonts w:ascii="Arial" w:hAnsi="Arial" w:cs="Arial"/>
          <w:sz w:val="24"/>
          <w:szCs w:val="24"/>
        </w:rPr>
      </w:pPr>
      <w:r>
        <w:rPr>
          <w:rFonts w:cs="Arial" w:ascii="Arial" w:hAnsi="Arial"/>
          <w:sz w:val="24"/>
          <w:szCs w:val="24"/>
        </w:rPr>
      </w:r>
    </w:p>
    <w:p>
      <w:pPr>
        <w:pStyle w:val="Normal"/>
        <w:snapToGrid w:val="false"/>
        <w:ind w:left="510" w:hanging="0"/>
        <w:jc w:val="both"/>
        <w:rPr>
          <w:rFonts w:ascii="Arial" w:hAnsi="Arial" w:cs="Arial"/>
          <w:sz w:val="24"/>
          <w:szCs w:val="24"/>
        </w:rPr>
      </w:pPr>
      <w:r>
        <w:rPr>
          <w:rFonts w:cs="Arial" w:ascii="Arial" w:hAnsi="Arial"/>
          <w:b/>
          <w:bCs/>
          <w:sz w:val="24"/>
          <w:szCs w:val="24"/>
        </w:rPr>
        <w:t>I –</w:t>
      </w:r>
      <w:r>
        <w:rPr>
          <w:rFonts w:cs="Arial" w:ascii="Arial" w:hAnsi="Arial"/>
          <w:sz w:val="24"/>
          <w:szCs w:val="24"/>
        </w:rPr>
        <w:t xml:space="preserve"> houverem sido adequadamente atendidos todos os que estiverem em andamento;</w:t>
      </w:r>
    </w:p>
    <w:p>
      <w:pPr>
        <w:pStyle w:val="Normal"/>
        <w:snapToGrid w:val="false"/>
        <w:ind w:left="510" w:hanging="0"/>
        <w:jc w:val="both"/>
        <w:rPr>
          <w:rFonts w:ascii="Arial" w:hAnsi="Arial" w:cs="Arial"/>
          <w:sz w:val="24"/>
          <w:szCs w:val="24"/>
        </w:rPr>
      </w:pPr>
      <w:r>
        <w:rPr>
          <w:rFonts w:cs="Arial" w:ascii="Arial" w:hAnsi="Arial"/>
          <w:sz w:val="24"/>
          <w:szCs w:val="24"/>
        </w:rPr>
      </w:r>
    </w:p>
    <w:p>
      <w:pPr>
        <w:pStyle w:val="Normal"/>
        <w:snapToGrid w:val="false"/>
        <w:ind w:left="510" w:hanging="0"/>
        <w:jc w:val="both"/>
        <w:rPr>
          <w:rFonts w:ascii="Arial" w:hAnsi="Arial" w:cs="Arial"/>
          <w:color w:val="000000"/>
          <w:sz w:val="24"/>
          <w:szCs w:val="24"/>
        </w:rPr>
      </w:pPr>
      <w:r>
        <w:rPr>
          <w:rFonts w:cs="Arial" w:ascii="Arial" w:hAnsi="Arial"/>
          <w:b/>
          <w:bCs/>
          <w:color w:val="000000"/>
          <w:sz w:val="24"/>
          <w:szCs w:val="24"/>
        </w:rPr>
        <w:t>II –</w:t>
      </w:r>
      <w:r>
        <w:rPr>
          <w:rFonts w:cs="Arial" w:ascii="Arial" w:hAnsi="Arial"/>
          <w:color w:val="000000"/>
          <w:sz w:val="24"/>
          <w:szCs w:val="24"/>
        </w:rPr>
        <w:t xml:space="preserve"> estiverem preservados os recursos necessários à conservação do patrimônio público;</w:t>
      </w:r>
    </w:p>
    <w:p>
      <w:pPr>
        <w:pStyle w:val="Normal"/>
        <w:snapToGrid w:val="false"/>
        <w:ind w:left="510" w:hanging="0"/>
        <w:jc w:val="both"/>
        <w:rPr>
          <w:rFonts w:ascii="Arial" w:hAnsi="Arial" w:cs="Arial"/>
          <w:sz w:val="24"/>
          <w:szCs w:val="24"/>
        </w:rPr>
      </w:pPr>
      <w:r>
        <w:rPr>
          <w:rFonts w:cs="Arial" w:ascii="Arial" w:hAnsi="Arial"/>
          <w:sz w:val="24"/>
          <w:szCs w:val="24"/>
        </w:rPr>
      </w:r>
    </w:p>
    <w:p>
      <w:pPr>
        <w:pStyle w:val="Normal"/>
        <w:tabs>
          <w:tab w:val="clear" w:pos="708"/>
          <w:tab w:val="left" w:pos="1440" w:leader="none"/>
        </w:tabs>
        <w:ind w:left="510" w:hanging="0"/>
        <w:rPr>
          <w:rFonts w:ascii="Arial" w:hAnsi="Arial" w:cs="Arial"/>
          <w:color w:val="000000"/>
          <w:sz w:val="24"/>
          <w:szCs w:val="24"/>
        </w:rPr>
      </w:pPr>
      <w:r>
        <w:rPr>
          <w:rFonts w:cs="Arial" w:ascii="Arial" w:hAnsi="Arial"/>
          <w:b/>
          <w:bCs/>
          <w:color w:val="000000"/>
          <w:sz w:val="24"/>
          <w:szCs w:val="24"/>
        </w:rPr>
        <w:t>III –</w:t>
      </w:r>
      <w:r>
        <w:rPr>
          <w:rFonts w:cs="Arial" w:ascii="Arial" w:hAnsi="Arial"/>
          <w:color w:val="000000"/>
          <w:sz w:val="24"/>
          <w:szCs w:val="24"/>
        </w:rPr>
        <w:t xml:space="preserve"> estiverem perfeitamente definidas suas fontes de custeio;</w:t>
      </w:r>
    </w:p>
    <w:p>
      <w:pPr>
        <w:pStyle w:val="Normal"/>
        <w:tabs>
          <w:tab w:val="clear" w:pos="708"/>
          <w:tab w:val="left" w:pos="1440" w:leader="none"/>
        </w:tabs>
        <w:ind w:left="510" w:hanging="0"/>
        <w:rPr>
          <w:rFonts w:ascii="Arial" w:hAnsi="Arial" w:cs="Arial"/>
          <w:sz w:val="24"/>
          <w:szCs w:val="24"/>
        </w:rPr>
      </w:pPr>
      <w:r>
        <w:rPr>
          <w:rFonts w:cs="Arial" w:ascii="Arial" w:hAnsi="Arial"/>
          <w:sz w:val="24"/>
          <w:szCs w:val="24"/>
        </w:rPr>
      </w:r>
    </w:p>
    <w:p>
      <w:pPr>
        <w:pStyle w:val="Normal"/>
        <w:snapToGrid w:val="false"/>
        <w:ind w:left="510" w:hanging="0"/>
        <w:jc w:val="both"/>
        <w:rPr>
          <w:rFonts w:ascii="Arial" w:hAnsi="Arial" w:cs="Arial"/>
          <w:sz w:val="24"/>
          <w:szCs w:val="24"/>
        </w:rPr>
      </w:pPr>
      <w:r>
        <w:rPr>
          <w:rFonts w:cs="Arial" w:ascii="Arial" w:hAnsi="Arial"/>
          <w:b/>
          <w:bCs/>
          <w:color w:val="000000"/>
          <w:sz w:val="24"/>
          <w:szCs w:val="24"/>
        </w:rPr>
        <w:t>IV –</w:t>
      </w:r>
      <w:r>
        <w:rPr>
          <w:rFonts w:cs="Arial" w:ascii="Arial" w:hAnsi="Arial"/>
          <w:color w:val="000000"/>
          <w:sz w:val="24"/>
          <w:szCs w:val="24"/>
        </w:rPr>
        <w:t xml:space="preserve"> os recursos alocados destinarem-se a contrapartidas de recursos federais, estaduais ou de operações de crédito, com objetivo de concluir etapas de uma ação municipal.</w:t>
      </w:r>
    </w:p>
    <w:p>
      <w:pPr>
        <w:pStyle w:val="Normal"/>
        <w:ind w:left="510" w:hanging="0"/>
        <w:jc w:val="both"/>
        <w:rPr>
          <w:rFonts w:ascii="Arial" w:hAnsi="Arial" w:cs="Arial"/>
          <w:b/>
          <w:bCs/>
          <w:sz w:val="24"/>
          <w:szCs w:val="24"/>
        </w:rPr>
      </w:pPr>
      <w:r>
        <w:rPr>
          <w:rFonts w:cs="Arial" w:ascii="Arial" w:hAnsi="Arial"/>
          <w:b/>
          <w:bCs/>
          <w:sz w:val="24"/>
          <w:szCs w:val="24"/>
        </w:rPr>
      </w:r>
    </w:p>
    <w:p>
      <w:pPr>
        <w:pStyle w:val="Normal"/>
        <w:ind w:left="510" w:hanging="0"/>
        <w:jc w:val="both"/>
        <w:rPr>
          <w:rFonts w:ascii="Arial" w:hAnsi="Arial" w:cs="Arial"/>
          <w:b/>
          <w:bCs/>
          <w:sz w:val="24"/>
          <w:szCs w:val="24"/>
        </w:rPr>
      </w:pPr>
      <w:r>
        <w:rPr>
          <w:rFonts w:cs="Arial" w:ascii="Arial" w:hAnsi="Arial"/>
          <w:b/>
          <w:color w:val="000000"/>
          <w:sz w:val="24"/>
          <w:szCs w:val="24"/>
          <w:shd w:fill="FFFFFF" w:val="clear"/>
        </w:rPr>
        <w:t>Art. 49</w:t>
      </w:r>
      <w:r>
        <w:rPr>
          <w:rFonts w:cs="Arial" w:ascii="Arial" w:hAnsi="Arial"/>
          <w:color w:val="000000"/>
          <w:sz w:val="24"/>
          <w:szCs w:val="24"/>
          <w:shd w:fill="FFFFFF" w:val="clear"/>
        </w:rPr>
        <w:t xml:space="preserve"> Os recursos correspondentes às dotações orçamentárias, compreendidos os créditos suplementares e especiais, destinados ao Poder Legislativo, serão repassados até o dia 20 de cada mês, em duodécimos.</w:t>
      </w:r>
    </w:p>
    <w:p>
      <w:pPr>
        <w:pStyle w:val="Normal"/>
        <w:snapToGrid w:val="false"/>
        <w:ind w:left="510" w:hanging="0"/>
        <w:jc w:val="center"/>
        <w:rPr>
          <w:rFonts w:ascii="Arial" w:hAnsi="Arial" w:cs="Arial"/>
          <w:b/>
          <w:bCs/>
          <w:color w:val="000000"/>
          <w:sz w:val="24"/>
          <w:szCs w:val="24"/>
        </w:rPr>
      </w:pPr>
      <w:r>
        <w:rPr>
          <w:rFonts w:cs="Arial" w:ascii="Arial" w:hAnsi="Arial"/>
          <w:b/>
          <w:bCs/>
          <w:color w:val="000000"/>
          <w:sz w:val="24"/>
          <w:szCs w:val="24"/>
        </w:rPr>
      </w:r>
    </w:p>
    <w:p>
      <w:pPr>
        <w:pStyle w:val="Normal"/>
        <w:snapToGrid w:val="false"/>
        <w:ind w:left="510" w:hanging="0"/>
        <w:jc w:val="center"/>
        <w:rPr>
          <w:rFonts w:ascii="Arial" w:hAnsi="Arial" w:cs="Arial"/>
          <w:b/>
          <w:bCs/>
          <w:color w:val="000000"/>
          <w:sz w:val="24"/>
          <w:szCs w:val="24"/>
        </w:rPr>
      </w:pPr>
      <w:r>
        <w:rPr>
          <w:rFonts w:cs="Arial" w:ascii="Arial" w:hAnsi="Arial"/>
          <w:b/>
          <w:bCs/>
          <w:color w:val="000000"/>
          <w:sz w:val="24"/>
          <w:szCs w:val="24"/>
        </w:rPr>
        <w:t>CAPÍTULO VI</w:t>
      </w:r>
    </w:p>
    <w:p>
      <w:pPr>
        <w:pStyle w:val="Normal"/>
        <w:snapToGrid w:val="false"/>
        <w:ind w:left="510" w:hanging="0"/>
        <w:jc w:val="center"/>
        <w:rPr>
          <w:rFonts w:ascii="Arial" w:hAnsi="Arial" w:cs="Arial"/>
          <w:b/>
          <w:bCs/>
          <w:color w:val="000000"/>
          <w:sz w:val="24"/>
          <w:szCs w:val="24"/>
        </w:rPr>
      </w:pPr>
      <w:r>
        <w:rPr>
          <w:rFonts w:cs="Arial" w:ascii="Arial" w:hAnsi="Arial"/>
          <w:b/>
          <w:bCs/>
          <w:color w:val="000000"/>
          <w:sz w:val="24"/>
          <w:szCs w:val="24"/>
        </w:rPr>
        <w:t>DAS DISPOSIÇÕES RELATIVAS Á DÍVIDA PÚBLICA MUNICIPAL</w:t>
      </w:r>
    </w:p>
    <w:p>
      <w:pPr>
        <w:pStyle w:val="Normal"/>
        <w:ind w:left="510" w:hanging="0"/>
        <w:jc w:val="both"/>
        <w:rPr>
          <w:rFonts w:ascii="Arial" w:hAnsi="Arial" w:cs="Arial"/>
          <w:b/>
          <w:bCs/>
          <w:sz w:val="24"/>
          <w:szCs w:val="24"/>
        </w:rPr>
      </w:pPr>
      <w:r>
        <w:rPr>
          <w:rFonts w:cs="Arial" w:ascii="Arial" w:hAnsi="Arial"/>
          <w:b/>
          <w:bCs/>
          <w:sz w:val="24"/>
          <w:szCs w:val="24"/>
        </w:rPr>
      </w:r>
    </w:p>
    <w:p>
      <w:pPr>
        <w:pStyle w:val="Normal"/>
        <w:ind w:left="510" w:hanging="0"/>
        <w:jc w:val="both"/>
        <w:rPr>
          <w:rFonts w:ascii="Arial" w:hAnsi="Arial" w:cs="Arial"/>
          <w:sz w:val="24"/>
          <w:szCs w:val="24"/>
          <w:lang w:eastAsia="pt-BR"/>
        </w:rPr>
      </w:pPr>
      <w:r>
        <w:rPr>
          <w:rFonts w:eastAsia="Calibri" w:cs="Arial" w:ascii="Arial" w:hAnsi="Arial"/>
          <w:b/>
          <w:sz w:val="24"/>
          <w:szCs w:val="24"/>
          <w:lang w:eastAsia="en-US"/>
        </w:rPr>
        <w:t>Art. 50 -</w:t>
      </w:r>
      <w:r>
        <w:rPr>
          <w:rFonts w:eastAsia="Calibri" w:cs="Arial" w:ascii="Arial" w:hAnsi="Arial"/>
          <w:sz w:val="24"/>
          <w:szCs w:val="24"/>
          <w:lang w:eastAsia="en-US"/>
        </w:rPr>
        <w:t xml:space="preserve"> A Lei Orçamentária de 2025 poderá conter autorização para contratação de Operações de Crédito para atendimento à Despesas de Capital, observado o limite de endividamento, de até 50% das Receitas Correntes Líquidas apuradas até o final do semestre anterior a assinatura do contrato, na forma estabelecida </w:t>
      </w:r>
      <w:r>
        <w:rPr>
          <w:rFonts w:cs="Arial" w:ascii="Arial" w:hAnsi="Arial"/>
          <w:sz w:val="24"/>
          <w:szCs w:val="24"/>
          <w:lang w:eastAsia="pt-BR"/>
        </w:rPr>
        <w:t>no art. 4º, I, "e" da LRF.</w:t>
      </w:r>
    </w:p>
    <w:p>
      <w:pPr>
        <w:pStyle w:val="Normal"/>
        <w:ind w:left="510" w:hanging="0"/>
        <w:jc w:val="both"/>
        <w:rPr>
          <w:rFonts w:ascii="Arial" w:hAnsi="Arial" w:cs="Arial"/>
          <w:b/>
          <w:bCs/>
          <w:sz w:val="24"/>
          <w:szCs w:val="24"/>
          <w:lang w:eastAsia="pt-BR"/>
        </w:rPr>
      </w:pPr>
      <w:r>
        <w:rPr>
          <w:rFonts w:cs="Arial" w:ascii="Arial" w:hAnsi="Arial"/>
          <w:b/>
          <w:bCs/>
          <w:sz w:val="24"/>
          <w:szCs w:val="24"/>
          <w:lang w:eastAsia="pt-BR"/>
        </w:rPr>
      </w:r>
    </w:p>
    <w:p>
      <w:pPr>
        <w:pStyle w:val="Normal"/>
        <w:ind w:left="510" w:hanging="0"/>
        <w:jc w:val="both"/>
        <w:rPr>
          <w:rFonts w:ascii="Arial" w:hAnsi="Arial" w:cs="Arial"/>
          <w:sz w:val="24"/>
          <w:szCs w:val="24"/>
          <w:lang w:eastAsia="pt-BR"/>
        </w:rPr>
      </w:pPr>
      <w:r>
        <w:rPr>
          <w:rFonts w:cs="Arial" w:ascii="Arial" w:hAnsi="Arial"/>
          <w:b/>
          <w:sz w:val="24"/>
          <w:szCs w:val="24"/>
          <w:lang w:eastAsia="pt-BR"/>
        </w:rPr>
        <w:t>Art. 51 -</w:t>
      </w:r>
      <w:r>
        <w:rPr>
          <w:rFonts w:cs="Arial" w:ascii="Arial" w:hAnsi="Arial"/>
          <w:sz w:val="24"/>
          <w:szCs w:val="24"/>
          <w:lang w:eastAsia="pt-BR"/>
        </w:rPr>
        <w:t xml:space="preserve"> A contratação de operações de crédito dependerá de autorização em lei específica nos termos do art. 32, Parágrafo Único da LRF.</w:t>
      </w:r>
    </w:p>
    <w:p>
      <w:pPr>
        <w:pStyle w:val="Normal"/>
        <w:ind w:left="510" w:hanging="0"/>
        <w:jc w:val="both"/>
        <w:rPr>
          <w:rFonts w:ascii="Arial" w:hAnsi="Arial" w:cs="Arial"/>
          <w:b/>
          <w:bCs/>
          <w:sz w:val="24"/>
          <w:szCs w:val="24"/>
        </w:rPr>
      </w:pPr>
      <w:r>
        <w:rPr>
          <w:rFonts w:cs="Arial" w:ascii="Arial" w:hAnsi="Arial"/>
          <w:b/>
          <w:bCs/>
          <w:sz w:val="24"/>
          <w:szCs w:val="24"/>
        </w:rPr>
      </w:r>
    </w:p>
    <w:p>
      <w:pPr>
        <w:pStyle w:val="Normal"/>
        <w:snapToGrid w:val="false"/>
        <w:ind w:left="510" w:firstLine="567"/>
        <w:jc w:val="both"/>
        <w:rPr>
          <w:rFonts w:ascii="Arial" w:hAnsi="Arial" w:cs="Arial"/>
          <w:b/>
          <w:bCs/>
          <w:color w:val="000000"/>
          <w:sz w:val="24"/>
          <w:szCs w:val="24"/>
        </w:rPr>
      </w:pPr>
      <w:r>
        <w:rPr>
          <w:rFonts w:cs="Arial" w:ascii="Arial" w:hAnsi="Arial"/>
          <w:b/>
          <w:bCs/>
          <w:color w:val="000000"/>
          <w:sz w:val="24"/>
          <w:szCs w:val="24"/>
        </w:rPr>
        <w:t xml:space="preserve">  </w:t>
      </w:r>
      <w:r>
        <w:rPr>
          <w:rFonts w:cs="Arial" w:ascii="Arial" w:hAnsi="Arial"/>
          <w:b/>
          <w:bCs/>
          <w:color w:val="000000"/>
          <w:sz w:val="24"/>
          <w:szCs w:val="24"/>
        </w:rPr>
        <w:t>Art. 52-</w:t>
      </w:r>
      <w:r>
        <w:rPr>
          <w:rFonts w:cs="Arial" w:ascii="Arial" w:hAnsi="Arial"/>
          <w:color w:val="000000"/>
          <w:sz w:val="24"/>
          <w:szCs w:val="24"/>
        </w:rPr>
        <w:t>O projeto de Lei Orçamentária poderá incluir, na composição da receita total do Município, recursos provenientes de operações de crédito, respeitados os limites estabelecidos no artigo 167, inciso III da Constituição Federal.</w:t>
      </w:r>
    </w:p>
    <w:p>
      <w:pPr>
        <w:pStyle w:val="Normal"/>
        <w:ind w:left="510" w:hanging="0"/>
        <w:jc w:val="both"/>
        <w:rPr>
          <w:rFonts w:ascii="Arial" w:hAnsi="Arial" w:cs="Arial"/>
          <w:sz w:val="24"/>
          <w:szCs w:val="24"/>
          <w:lang w:eastAsia="pt-BR"/>
        </w:rPr>
      </w:pPr>
      <w:r>
        <w:rPr>
          <w:rFonts w:cs="Arial" w:ascii="Arial" w:hAnsi="Arial"/>
          <w:b/>
          <w:sz w:val="24"/>
          <w:szCs w:val="24"/>
          <w:lang w:eastAsia="pt-BR"/>
        </w:rPr>
        <w:t>Art. 53 -</w:t>
      </w:r>
      <w:r>
        <w:rPr>
          <w:rFonts w:cs="Arial" w:ascii="Arial" w:hAnsi="Arial"/>
          <w:sz w:val="24"/>
          <w:szCs w:val="24"/>
          <w:lang w:eastAsia="pt-BR"/>
        </w:rPr>
        <w:t xml:space="preserve"> Ultrapassado o limite de endividamento definido na legislação pertinente e enquanto perdurar o excesso, o Poder Executivo obterá resultado primário necessário através da limitação de empenho e movimentação financeira nos termos do art. 31, § 1°, II da LRF.</w:t>
      </w:r>
    </w:p>
    <w:p>
      <w:pPr>
        <w:pStyle w:val="Normal"/>
        <w:snapToGrid w:val="false"/>
        <w:ind w:left="510" w:firstLine="567"/>
        <w:jc w:val="both"/>
        <w:rPr>
          <w:rFonts w:ascii="Arial" w:hAnsi="Arial" w:cs="Arial"/>
          <w:sz w:val="24"/>
          <w:szCs w:val="24"/>
        </w:rPr>
      </w:pPr>
      <w:r>
        <w:rPr>
          <w:rFonts w:cs="Arial" w:ascii="Arial" w:hAnsi="Arial"/>
          <w:sz w:val="24"/>
          <w:szCs w:val="24"/>
        </w:rPr>
      </w:r>
    </w:p>
    <w:p>
      <w:pPr>
        <w:pStyle w:val="Normal"/>
        <w:snapToGrid w:val="false"/>
        <w:ind w:left="510" w:hanging="0"/>
        <w:jc w:val="center"/>
        <w:rPr>
          <w:rFonts w:ascii="Arial" w:hAnsi="Arial" w:cs="Arial"/>
          <w:b/>
          <w:bCs/>
          <w:sz w:val="24"/>
          <w:szCs w:val="24"/>
        </w:rPr>
      </w:pPr>
      <w:r>
        <w:rPr>
          <w:rFonts w:cs="Arial" w:ascii="Arial" w:hAnsi="Arial"/>
          <w:b/>
          <w:bCs/>
          <w:color w:val="000000"/>
          <w:sz w:val="24"/>
          <w:szCs w:val="24"/>
        </w:rPr>
        <w:t>CAPÍTULO VII</w:t>
      </w:r>
    </w:p>
    <w:p>
      <w:pPr>
        <w:pStyle w:val="Normal"/>
        <w:keepNext w:val="true"/>
        <w:tabs>
          <w:tab w:val="clear" w:pos="708"/>
          <w:tab w:val="left" w:pos="0" w:leader="none"/>
          <w:tab w:val="left" w:pos="2880" w:leader="none"/>
        </w:tabs>
        <w:ind w:left="510" w:hanging="0"/>
        <w:jc w:val="center"/>
        <w:rPr>
          <w:rFonts w:ascii="Arial" w:hAnsi="Arial" w:eastAsia="Calibri" w:cs="Arial"/>
          <w:b/>
          <w:bCs/>
          <w:sz w:val="24"/>
          <w:szCs w:val="24"/>
          <w:lang w:eastAsia="en-US"/>
        </w:rPr>
      </w:pPr>
      <w:r>
        <w:rPr>
          <w:rFonts w:eastAsia="Calibri" w:cs="Arial" w:ascii="Arial" w:hAnsi="Arial"/>
          <w:b/>
          <w:bCs/>
          <w:sz w:val="24"/>
          <w:szCs w:val="24"/>
          <w:lang w:eastAsia="en-US"/>
        </w:rPr>
        <w:t>DAS DISPOSIÇÕES SOBRE DESPESAS COM PESSOAL</w:t>
      </w:r>
    </w:p>
    <w:p>
      <w:pPr>
        <w:pStyle w:val="Normal"/>
        <w:tabs>
          <w:tab w:val="clear" w:pos="708"/>
          <w:tab w:val="left" w:pos="0" w:leader="none"/>
          <w:tab w:val="left" w:pos="540" w:leader="none"/>
          <w:tab w:val="left" w:pos="3960" w:leader="none"/>
        </w:tabs>
        <w:ind w:left="510" w:hanging="0"/>
        <w:rPr>
          <w:rFonts w:ascii="Arial" w:hAnsi="Arial" w:eastAsia="Calibri" w:cs="Arial"/>
          <w:b/>
          <w:bCs/>
          <w:sz w:val="24"/>
          <w:szCs w:val="24"/>
          <w:lang w:eastAsia="en-US"/>
        </w:rPr>
      </w:pPr>
      <w:r>
        <w:rPr>
          <w:rFonts w:eastAsia="Calibri" w:cs="Arial" w:ascii="Arial" w:hAnsi="Arial"/>
          <w:b/>
          <w:bCs/>
          <w:sz w:val="24"/>
          <w:szCs w:val="24"/>
          <w:lang w:eastAsia="en-US"/>
        </w:rPr>
      </w:r>
    </w:p>
    <w:p>
      <w:pPr>
        <w:pStyle w:val="Normal"/>
        <w:ind w:left="510" w:hanging="0"/>
        <w:jc w:val="both"/>
        <w:rPr>
          <w:rFonts w:ascii="Arial" w:hAnsi="Arial" w:cs="Arial"/>
          <w:sz w:val="24"/>
          <w:szCs w:val="24"/>
          <w:lang w:eastAsia="pt-BR"/>
        </w:rPr>
      </w:pPr>
      <w:r>
        <w:rPr>
          <w:rFonts w:eastAsia="Calibri" w:cs="Arial" w:ascii="Arial" w:hAnsi="Arial"/>
          <w:b/>
          <w:sz w:val="24"/>
          <w:szCs w:val="24"/>
          <w:lang w:eastAsia="en-US"/>
        </w:rPr>
        <w:t>Art. 54 -</w:t>
      </w:r>
      <w:r>
        <w:rPr>
          <w:rFonts w:eastAsia="Calibri" w:cs="Arial" w:ascii="Arial" w:hAnsi="Arial"/>
          <w:sz w:val="24"/>
          <w:szCs w:val="24"/>
          <w:lang w:eastAsia="en-US"/>
        </w:rPr>
        <w:t xml:space="preserve"> O Executivo e o Legislativo Municipal, mediante lei autorizativa poderão em 2025, criar cargos e funções, alterar a estrutura de carreira, corrigir ou aumentar a remuneração de servidores, conceder vantagens, admitir pessoal aprovado em concurso público ou caráter temporário na forma de lei, observados os limites e as regras da LRF e</w:t>
      </w:r>
      <w:r>
        <w:rPr>
          <w:rFonts w:cs="Arial" w:ascii="Arial" w:hAnsi="Arial"/>
          <w:sz w:val="24"/>
          <w:szCs w:val="24"/>
          <w:lang w:eastAsia="pt-BR"/>
        </w:rPr>
        <w:t xml:space="preserve"> art. 169, § 1º, II da Constituição Federal.</w:t>
      </w:r>
    </w:p>
    <w:p>
      <w:pPr>
        <w:pStyle w:val="Normal"/>
        <w:tabs>
          <w:tab w:val="clear" w:pos="708"/>
          <w:tab w:val="left" w:pos="0" w:leader="none"/>
          <w:tab w:val="left" w:pos="540" w:leader="none"/>
          <w:tab w:val="left" w:pos="396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ind w:left="510" w:hanging="0"/>
        <w:jc w:val="both"/>
        <w:rPr>
          <w:rFonts w:ascii="Arial" w:hAnsi="Arial" w:cs="Arial"/>
          <w:sz w:val="24"/>
          <w:szCs w:val="24"/>
          <w:lang w:eastAsia="pt-BR"/>
        </w:rPr>
      </w:pPr>
      <w:r>
        <w:rPr>
          <w:rFonts w:cs="Arial" w:ascii="Arial" w:hAnsi="Arial"/>
          <w:b/>
          <w:sz w:val="24"/>
          <w:szCs w:val="24"/>
          <w:lang w:eastAsia="pt-BR"/>
        </w:rPr>
        <w:t>Art. 55 -</w:t>
      </w:r>
      <w:r>
        <w:rPr>
          <w:rFonts w:cs="Arial" w:ascii="Arial" w:hAnsi="Arial"/>
          <w:sz w:val="24"/>
          <w:szCs w:val="24"/>
          <w:lang w:eastAsia="pt-BR"/>
        </w:rPr>
        <w:t xml:space="preserve"> Ressalvada a hipótese do inciso X do artigo 37 da Constituição Federal, a despesa total com pessoal de cada um dos Poderes em 2025, Executivo e Legislativo, não excederá em Percentual da Receita Corrente Líquida, a despesa verificada no exercício de 2024, acrescida de 5%, obedecido o limites prudencial de 51,30% e 5,70% da Receita Corrente Líquida, respectivamente nos termos do art. 71 da LRF.    </w:t>
      </w:r>
    </w:p>
    <w:p>
      <w:pPr>
        <w:pStyle w:val="Normal"/>
        <w:ind w:left="510" w:hanging="0"/>
        <w:jc w:val="both"/>
        <w:rPr>
          <w:rFonts w:ascii="Arial" w:hAnsi="Arial" w:cs="Arial"/>
          <w:sz w:val="24"/>
          <w:szCs w:val="24"/>
          <w:lang w:eastAsia="pt-BR"/>
        </w:rPr>
      </w:pPr>
      <w:r>
        <w:rPr>
          <w:rFonts w:cs="Arial" w:ascii="Arial" w:hAnsi="Arial"/>
          <w:sz w:val="24"/>
          <w:szCs w:val="24"/>
          <w:lang w:eastAsia="pt-BR"/>
        </w:rPr>
      </w:r>
    </w:p>
    <w:p>
      <w:pPr>
        <w:pStyle w:val="Normal"/>
        <w:ind w:left="510" w:hanging="0"/>
        <w:jc w:val="both"/>
        <w:rPr>
          <w:rFonts w:ascii="Arial" w:hAnsi="Arial" w:cs="Arial"/>
          <w:sz w:val="24"/>
          <w:szCs w:val="24"/>
          <w:lang w:eastAsia="pt-BR"/>
        </w:rPr>
      </w:pPr>
      <w:r>
        <w:rPr>
          <w:rFonts w:cs="Arial" w:ascii="Arial" w:hAnsi="Arial"/>
          <w:sz w:val="24"/>
          <w:szCs w:val="24"/>
          <w:lang w:eastAsia="pt-BR"/>
        </w:rPr>
      </w:r>
    </w:p>
    <w:p>
      <w:pPr>
        <w:pStyle w:val="Normal"/>
        <w:ind w:left="510" w:hanging="0"/>
        <w:jc w:val="both"/>
        <w:rPr>
          <w:rFonts w:ascii="Arial" w:hAnsi="Arial" w:cs="Arial"/>
          <w:sz w:val="24"/>
          <w:szCs w:val="24"/>
          <w:lang w:eastAsia="pt-BR"/>
        </w:rPr>
      </w:pPr>
      <w:r>
        <w:rPr>
          <w:rFonts w:cs="Arial" w:ascii="Arial" w:hAnsi="Arial"/>
          <w:sz w:val="24"/>
          <w:szCs w:val="24"/>
          <w:lang w:eastAsia="pt-BR"/>
        </w:rPr>
      </w:r>
    </w:p>
    <w:p>
      <w:pPr>
        <w:pStyle w:val="Normal"/>
        <w:ind w:left="510" w:firstLine="708"/>
        <w:jc w:val="both"/>
        <w:rPr>
          <w:rFonts w:ascii="Arial" w:hAnsi="Arial" w:cs="Arial"/>
          <w:sz w:val="24"/>
          <w:szCs w:val="24"/>
          <w:lang w:eastAsia="pt-BR"/>
        </w:rPr>
      </w:pPr>
      <w:r>
        <w:rPr>
          <w:rFonts w:cs="Arial" w:ascii="Arial" w:hAnsi="Arial"/>
          <w:b/>
          <w:sz w:val="24"/>
          <w:szCs w:val="24"/>
          <w:lang w:eastAsia="pt-BR"/>
        </w:rPr>
        <w:t>Art. 56 -</w:t>
      </w:r>
      <w:r>
        <w:rPr>
          <w:rFonts w:cs="Arial" w:ascii="Arial" w:hAnsi="Arial"/>
          <w:sz w:val="24"/>
          <w:szCs w:val="24"/>
          <w:lang w:eastAsia="pt-BR"/>
        </w:rPr>
        <w:t xml:space="preserve"> Nos casos de necessidade temporária, de excepcional interesse público, devidamente justificado pela autoridade competente, a Administração Municipal poderá autorizar a realização de horas extras pelos servidores, quando as despesas com pessoal não excederem a 95% do limite estabelecido no art. 20, III da LRF, de acordo com o art. 22, parágrafo único, V da LRF.</w:t>
      </w:r>
    </w:p>
    <w:p>
      <w:pPr>
        <w:pStyle w:val="Normal"/>
        <w:ind w:left="510" w:hanging="0"/>
        <w:jc w:val="both"/>
        <w:rPr>
          <w:rFonts w:ascii="Arial" w:hAnsi="Arial" w:cs="Arial"/>
          <w:sz w:val="24"/>
          <w:szCs w:val="24"/>
          <w:lang w:eastAsia="pt-BR"/>
        </w:rPr>
      </w:pPr>
      <w:r>
        <w:rPr>
          <w:rFonts w:cs="Arial" w:ascii="Arial" w:hAnsi="Arial"/>
          <w:sz w:val="24"/>
          <w:szCs w:val="24"/>
          <w:lang w:eastAsia="pt-BR"/>
        </w:rPr>
      </w:r>
    </w:p>
    <w:p>
      <w:pPr>
        <w:pStyle w:val="Normal"/>
        <w:ind w:left="510" w:hanging="0"/>
        <w:jc w:val="both"/>
        <w:rPr>
          <w:rFonts w:ascii="Arial" w:hAnsi="Arial" w:cs="Arial"/>
          <w:sz w:val="24"/>
          <w:szCs w:val="24"/>
          <w:lang w:eastAsia="pt-BR"/>
        </w:rPr>
      </w:pPr>
      <w:r>
        <w:rPr>
          <w:rFonts w:cs="Arial" w:ascii="Arial" w:hAnsi="Arial"/>
          <w:b/>
          <w:sz w:val="24"/>
          <w:szCs w:val="24"/>
          <w:lang w:eastAsia="pt-BR"/>
        </w:rPr>
        <w:t>Art. 57 -</w:t>
      </w:r>
      <w:r>
        <w:rPr>
          <w:rFonts w:cs="Arial" w:ascii="Arial" w:hAnsi="Arial"/>
          <w:sz w:val="24"/>
          <w:szCs w:val="24"/>
          <w:lang w:eastAsia="pt-BR"/>
        </w:rPr>
        <w:t xml:space="preserve"> O Executivo Municipal adotará as seguintes medidas para reduzir as despesas com pessoal caso elas ultrapassem os limites estabelecidos na LRF, os termos do art. 19 e 20:</w:t>
      </w:r>
    </w:p>
    <w:p>
      <w:pPr>
        <w:pStyle w:val="Normal"/>
        <w:ind w:left="510" w:hanging="0"/>
        <w:jc w:val="both"/>
        <w:rPr>
          <w:rFonts w:ascii="Arial" w:hAnsi="Arial" w:cs="Arial"/>
          <w:sz w:val="24"/>
          <w:szCs w:val="24"/>
          <w:lang w:eastAsia="pt-BR"/>
        </w:rPr>
      </w:pPr>
      <w:r>
        <w:rPr>
          <w:rFonts w:cs="Arial" w:ascii="Arial" w:hAnsi="Arial"/>
          <w:sz w:val="24"/>
          <w:szCs w:val="24"/>
          <w:lang w:eastAsia="pt-BR"/>
        </w:rPr>
      </w:r>
    </w:p>
    <w:p>
      <w:pPr>
        <w:pStyle w:val="Normal"/>
        <w:ind w:left="510" w:hanging="0"/>
        <w:jc w:val="both"/>
        <w:rPr>
          <w:rFonts w:ascii="Arial" w:hAnsi="Arial" w:cs="Arial"/>
          <w:sz w:val="24"/>
          <w:szCs w:val="24"/>
          <w:lang w:eastAsia="pt-BR"/>
        </w:rPr>
      </w:pPr>
      <w:r>
        <w:rPr>
          <w:rFonts w:cs="Arial" w:ascii="Arial" w:hAnsi="Arial"/>
          <w:b/>
          <w:sz w:val="24"/>
          <w:szCs w:val="24"/>
          <w:lang w:eastAsia="pt-BR"/>
        </w:rPr>
        <w:t xml:space="preserve">I </w:t>
        <w:tab/>
        <w:t>-</w:t>
      </w:r>
      <w:r>
        <w:rPr>
          <w:rFonts w:cs="Arial" w:ascii="Arial" w:hAnsi="Arial"/>
          <w:sz w:val="24"/>
          <w:szCs w:val="24"/>
          <w:lang w:eastAsia="pt-BR"/>
        </w:rPr>
        <w:t xml:space="preserve"> eliminação de vantagens concedidas a servidores;</w:t>
      </w:r>
    </w:p>
    <w:p>
      <w:pPr>
        <w:pStyle w:val="Normal"/>
        <w:ind w:left="510" w:hanging="0"/>
        <w:jc w:val="both"/>
        <w:rPr>
          <w:rFonts w:ascii="Arial" w:hAnsi="Arial" w:cs="Arial"/>
          <w:sz w:val="24"/>
          <w:szCs w:val="24"/>
          <w:lang w:eastAsia="pt-BR"/>
        </w:rPr>
      </w:pPr>
      <w:r>
        <w:rPr>
          <w:rFonts w:cs="Arial" w:ascii="Arial" w:hAnsi="Arial"/>
          <w:sz w:val="24"/>
          <w:szCs w:val="24"/>
          <w:lang w:eastAsia="pt-BR"/>
        </w:rPr>
      </w:r>
    </w:p>
    <w:p>
      <w:pPr>
        <w:pStyle w:val="Normal"/>
        <w:ind w:left="510" w:hanging="0"/>
        <w:jc w:val="both"/>
        <w:rPr>
          <w:rFonts w:ascii="Arial" w:hAnsi="Arial" w:cs="Arial"/>
          <w:sz w:val="24"/>
          <w:szCs w:val="24"/>
          <w:lang w:eastAsia="pt-BR"/>
        </w:rPr>
      </w:pPr>
      <w:r>
        <w:rPr>
          <w:rFonts w:cs="Arial" w:ascii="Arial" w:hAnsi="Arial"/>
          <w:b/>
          <w:sz w:val="24"/>
          <w:szCs w:val="24"/>
          <w:lang w:eastAsia="pt-BR"/>
        </w:rPr>
        <w:t>II</w:t>
      </w:r>
      <w:r>
        <w:rPr>
          <w:rFonts w:cs="Arial" w:ascii="Arial" w:hAnsi="Arial"/>
          <w:sz w:val="24"/>
          <w:szCs w:val="24"/>
          <w:lang w:eastAsia="pt-BR"/>
        </w:rPr>
        <w:tab/>
        <w:t>- eliminação das despesas com horas-extras;</w:t>
      </w:r>
    </w:p>
    <w:p>
      <w:pPr>
        <w:pStyle w:val="Normal"/>
        <w:ind w:left="510" w:hanging="0"/>
        <w:jc w:val="both"/>
        <w:rPr>
          <w:rFonts w:ascii="Arial" w:hAnsi="Arial" w:cs="Arial"/>
          <w:sz w:val="24"/>
          <w:szCs w:val="24"/>
          <w:lang w:eastAsia="pt-BR"/>
        </w:rPr>
      </w:pPr>
      <w:r>
        <w:rPr>
          <w:rFonts w:cs="Arial" w:ascii="Arial" w:hAnsi="Arial"/>
          <w:sz w:val="24"/>
          <w:szCs w:val="24"/>
          <w:lang w:eastAsia="pt-BR"/>
        </w:rPr>
      </w:r>
    </w:p>
    <w:p>
      <w:pPr>
        <w:pStyle w:val="Normal"/>
        <w:ind w:left="510" w:hanging="0"/>
        <w:jc w:val="both"/>
        <w:rPr>
          <w:rFonts w:ascii="Arial" w:hAnsi="Arial" w:cs="Arial"/>
          <w:sz w:val="24"/>
          <w:szCs w:val="24"/>
          <w:lang w:eastAsia="pt-BR"/>
        </w:rPr>
      </w:pPr>
      <w:r>
        <w:rPr>
          <w:rFonts w:cs="Arial" w:ascii="Arial" w:hAnsi="Arial"/>
          <w:b/>
          <w:sz w:val="24"/>
          <w:szCs w:val="24"/>
          <w:lang w:eastAsia="pt-BR"/>
        </w:rPr>
        <w:t xml:space="preserve">III </w:t>
      </w:r>
      <w:r>
        <w:rPr>
          <w:rFonts w:cs="Arial" w:ascii="Arial" w:hAnsi="Arial"/>
          <w:sz w:val="24"/>
          <w:szCs w:val="24"/>
          <w:lang w:eastAsia="pt-BR"/>
        </w:rPr>
        <w:tab/>
        <w:t>- exoneração de servidores ocupantes de cargo em comissão;</w:t>
      </w:r>
    </w:p>
    <w:p>
      <w:pPr>
        <w:pStyle w:val="Normal"/>
        <w:ind w:left="510" w:hanging="0"/>
        <w:jc w:val="both"/>
        <w:rPr>
          <w:rFonts w:ascii="Arial" w:hAnsi="Arial" w:cs="Arial"/>
          <w:sz w:val="24"/>
          <w:szCs w:val="24"/>
          <w:lang w:eastAsia="pt-BR"/>
        </w:rPr>
      </w:pPr>
      <w:r>
        <w:rPr>
          <w:rFonts w:cs="Arial" w:ascii="Arial" w:hAnsi="Arial"/>
          <w:sz w:val="24"/>
          <w:szCs w:val="24"/>
          <w:lang w:eastAsia="pt-BR"/>
        </w:rPr>
      </w:r>
    </w:p>
    <w:p>
      <w:pPr>
        <w:pStyle w:val="Normal"/>
        <w:ind w:left="510" w:hanging="0"/>
        <w:jc w:val="both"/>
        <w:rPr>
          <w:rFonts w:ascii="Arial" w:hAnsi="Arial" w:cs="Arial"/>
          <w:sz w:val="24"/>
          <w:szCs w:val="24"/>
          <w:lang w:eastAsia="pt-BR"/>
        </w:rPr>
      </w:pPr>
      <w:r>
        <w:rPr>
          <w:rFonts w:cs="Arial" w:ascii="Arial" w:hAnsi="Arial"/>
          <w:b/>
          <w:sz w:val="24"/>
          <w:szCs w:val="24"/>
          <w:lang w:eastAsia="pt-BR"/>
        </w:rPr>
        <w:t xml:space="preserve">IV </w:t>
      </w:r>
      <w:r>
        <w:rPr>
          <w:rFonts w:cs="Arial" w:ascii="Arial" w:hAnsi="Arial"/>
          <w:sz w:val="24"/>
          <w:szCs w:val="24"/>
          <w:lang w:eastAsia="pt-BR"/>
        </w:rPr>
        <w:tab/>
        <w:t>- demissão de servidores admitidos em caráter temporário.</w:t>
      </w:r>
    </w:p>
    <w:p>
      <w:pPr>
        <w:pStyle w:val="Normal"/>
        <w:ind w:left="510" w:hanging="0"/>
        <w:jc w:val="both"/>
        <w:rPr>
          <w:rFonts w:ascii="Arial" w:hAnsi="Arial" w:cs="Arial"/>
          <w:sz w:val="24"/>
          <w:szCs w:val="24"/>
          <w:lang w:eastAsia="pt-BR"/>
        </w:rPr>
      </w:pPr>
      <w:r>
        <w:rPr>
          <w:rFonts w:cs="Arial" w:ascii="Arial" w:hAnsi="Arial"/>
          <w:sz w:val="24"/>
          <w:szCs w:val="24"/>
          <w:lang w:eastAsia="pt-BR"/>
        </w:rPr>
      </w:r>
    </w:p>
    <w:p>
      <w:pPr>
        <w:pStyle w:val="Normal"/>
        <w:ind w:left="510" w:hanging="0"/>
        <w:jc w:val="both"/>
        <w:rPr>
          <w:rFonts w:ascii="Arial" w:hAnsi="Arial" w:cs="Arial"/>
          <w:sz w:val="24"/>
          <w:szCs w:val="24"/>
          <w:lang w:eastAsia="pt-BR"/>
        </w:rPr>
      </w:pPr>
      <w:r>
        <w:rPr>
          <w:rFonts w:cs="Arial" w:ascii="Arial" w:hAnsi="Arial"/>
          <w:b/>
          <w:sz w:val="24"/>
          <w:szCs w:val="24"/>
          <w:lang w:eastAsia="pt-BR"/>
        </w:rPr>
        <w:t>Art. 58 -</w:t>
      </w:r>
      <w:r>
        <w:rPr>
          <w:rFonts w:cs="Arial" w:ascii="Arial" w:hAnsi="Arial"/>
          <w:sz w:val="24"/>
          <w:szCs w:val="24"/>
          <w:lang w:eastAsia="pt-BR"/>
        </w:rPr>
        <w:t xml:space="preserve"> Para efeito desta Lei e registros contábeis, entende-se como terceirização de mão-de-obra referente substituição de servidores de que trata o art. 18, § 1º da LRF, a contratação de mão-de-obra cujas atividades ou funções guardem relação com atividades ou funções previstas no Plano de Cargos da Administração Municipal, ou ainda, atividades próprias da Administração Pública, desde que, em ambos os casos, não haja utilização de materiais ou equipamentos de propriedade do contratado ou de terceiros.</w:t>
      </w:r>
    </w:p>
    <w:p>
      <w:pPr>
        <w:pStyle w:val="Normal"/>
        <w:ind w:left="510" w:hanging="0"/>
        <w:jc w:val="both"/>
        <w:rPr>
          <w:rFonts w:ascii="Arial" w:hAnsi="Arial" w:cs="Arial"/>
          <w:sz w:val="24"/>
          <w:szCs w:val="24"/>
          <w:lang w:eastAsia="pt-BR"/>
        </w:rPr>
      </w:pPr>
      <w:r>
        <w:rPr>
          <w:rFonts w:cs="Arial" w:ascii="Arial" w:hAnsi="Arial"/>
          <w:sz w:val="24"/>
          <w:szCs w:val="24"/>
          <w:lang w:eastAsia="pt-BR"/>
        </w:rPr>
      </w:r>
    </w:p>
    <w:p>
      <w:pPr>
        <w:pStyle w:val="Normal"/>
        <w:ind w:left="510" w:hanging="0"/>
        <w:jc w:val="both"/>
        <w:rPr>
          <w:rFonts w:ascii="Arial" w:hAnsi="Arial" w:cs="Arial"/>
          <w:sz w:val="24"/>
          <w:szCs w:val="24"/>
          <w:lang w:eastAsia="pt-BR"/>
        </w:rPr>
      </w:pPr>
      <w:r>
        <w:rPr>
          <w:rFonts w:cs="Arial" w:ascii="Arial" w:hAnsi="Arial"/>
          <w:b/>
          <w:sz w:val="24"/>
          <w:szCs w:val="24"/>
          <w:lang w:eastAsia="pt-BR"/>
        </w:rPr>
        <w:t xml:space="preserve">   </w:t>
      </w:r>
      <w:r>
        <w:rPr>
          <w:rFonts w:cs="Arial" w:ascii="Arial" w:hAnsi="Arial"/>
          <w:b/>
          <w:sz w:val="24"/>
          <w:szCs w:val="24"/>
          <w:lang w:eastAsia="pt-BR"/>
        </w:rPr>
        <w:t>Parágrafo Único -</w:t>
      </w:r>
      <w:r>
        <w:rPr>
          <w:rFonts w:cs="Arial" w:ascii="Arial" w:hAnsi="Arial"/>
          <w:sz w:val="24"/>
          <w:szCs w:val="24"/>
          <w:lang w:eastAsia="pt-BR"/>
        </w:rPr>
        <w:t xml:space="preserve"> Quando a contratação de mão-de-obra envolver também fornecimento de materiais ou utilização de equipamentos de propriedade do contratado ou de terceiros, por não caracterizar substituição de servidores, a despesa será classificada em outros elementos de despesa que não o "34 - Outras Despesas de Pessoal decorrentes de Contratos de Terceirização".</w:t>
      </w:r>
    </w:p>
    <w:p>
      <w:pPr>
        <w:pStyle w:val="Normal"/>
        <w:ind w:left="510" w:hanging="0"/>
        <w:jc w:val="both"/>
        <w:rPr>
          <w:rFonts w:ascii="Arial" w:hAnsi="Arial" w:cs="Arial"/>
          <w:sz w:val="24"/>
          <w:szCs w:val="24"/>
          <w:lang w:eastAsia="pt-BR"/>
        </w:rPr>
      </w:pPr>
      <w:r>
        <w:rPr>
          <w:rFonts w:cs="Arial" w:ascii="Arial" w:hAnsi="Arial"/>
          <w:sz w:val="24"/>
          <w:szCs w:val="24"/>
          <w:lang w:eastAsia="pt-BR"/>
        </w:rPr>
      </w:r>
    </w:p>
    <w:p>
      <w:pPr>
        <w:pStyle w:val="Normal"/>
        <w:ind w:left="510" w:hanging="0"/>
        <w:jc w:val="center"/>
        <w:rPr>
          <w:rFonts w:ascii="Arial" w:hAnsi="Arial" w:eastAsia="Calibri" w:cs="Arial"/>
          <w:b/>
          <w:sz w:val="24"/>
          <w:szCs w:val="24"/>
          <w:lang w:eastAsia="en-US"/>
        </w:rPr>
      </w:pPr>
      <w:r>
        <w:rPr>
          <w:rFonts w:cs="Arial" w:ascii="Arial" w:hAnsi="Arial"/>
          <w:b/>
          <w:sz w:val="24"/>
          <w:szCs w:val="24"/>
        </w:rPr>
        <w:t>CAPITULO VIII</w:t>
      </w:r>
    </w:p>
    <w:p>
      <w:pPr>
        <w:pStyle w:val="Normal"/>
        <w:tabs>
          <w:tab w:val="clear" w:pos="708"/>
          <w:tab w:val="left" w:pos="0" w:leader="none"/>
          <w:tab w:val="left" w:pos="2880" w:leader="none"/>
        </w:tabs>
        <w:ind w:left="510" w:hanging="0"/>
        <w:jc w:val="center"/>
        <w:rPr>
          <w:rFonts w:ascii="Arial" w:hAnsi="Arial" w:eastAsia="Calibri" w:cs="Arial"/>
          <w:b/>
          <w:sz w:val="24"/>
          <w:szCs w:val="24"/>
          <w:lang w:eastAsia="en-US"/>
        </w:rPr>
      </w:pPr>
      <w:r>
        <w:rPr>
          <w:rStyle w:val="Negrito"/>
          <w:rFonts w:cs="Arial" w:ascii="Arial" w:hAnsi="Arial"/>
          <w:sz w:val="24"/>
          <w:szCs w:val="24"/>
        </w:rPr>
        <w:t>DAS DISPOSIÇÕES SOBRE A RECEITA E ALTERAÇÕES NA LEGISLAÇÃO TRIBUTÁRIA</w:t>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Style w:val="Negrito"/>
          <w:rFonts w:cs="Arial" w:ascii="Arial" w:hAnsi="Arial"/>
          <w:b w:val="false"/>
          <w:sz w:val="24"/>
          <w:szCs w:val="24"/>
        </w:rPr>
        <w:tab/>
        <w:tab/>
      </w:r>
    </w:p>
    <w:p>
      <w:pPr>
        <w:pStyle w:val="Normal"/>
        <w:ind w:left="510" w:hanging="0"/>
        <w:jc w:val="both"/>
        <w:rPr>
          <w:rFonts w:ascii="Arial" w:hAnsi="Arial" w:cs="Arial"/>
          <w:sz w:val="24"/>
          <w:szCs w:val="24"/>
          <w:lang w:eastAsia="pt-BR"/>
        </w:rPr>
      </w:pPr>
      <w:r>
        <w:rPr>
          <w:rFonts w:cs="Arial" w:ascii="Arial" w:hAnsi="Arial"/>
          <w:b/>
          <w:sz w:val="24"/>
          <w:szCs w:val="24"/>
          <w:lang w:eastAsia="pt-BR"/>
        </w:rPr>
        <w:t>Art. 59 -</w:t>
      </w:r>
      <w:r>
        <w:rPr>
          <w:rFonts w:cs="Arial" w:ascii="Arial" w:hAnsi="Arial"/>
          <w:sz w:val="24"/>
          <w:szCs w:val="24"/>
          <w:lang w:eastAsia="pt-BR"/>
        </w:rPr>
        <w:t xml:space="preserve"> O Executivo Municipal, quando autorizado em lei, poderá conceder ou ampliar benefício fiscal de natureza tributária com vistas a estimular o crescimento econômico, a geração de empregos e renda, ou beneficiar contribuintes integrantes de classes menos favorecidas, devendo esses benefícios ser considerados no cálculo do orçamento da receita e serem objeto de estudos do seu impacto orçamentário e financeiro no exercício em que iniciar sua vigência e nos dois subsequentes de acordo com o art. 14 da LRF.</w:t>
      </w:r>
    </w:p>
    <w:p>
      <w:pPr>
        <w:pStyle w:val="Normal"/>
        <w:ind w:left="510" w:hanging="0"/>
        <w:jc w:val="both"/>
        <w:rPr>
          <w:rFonts w:ascii="Arial" w:hAnsi="Arial" w:cs="Arial"/>
          <w:sz w:val="24"/>
          <w:szCs w:val="24"/>
          <w:lang w:eastAsia="pt-BR"/>
        </w:rPr>
      </w:pPr>
      <w:r>
        <w:rPr>
          <w:rFonts w:cs="Arial" w:ascii="Arial" w:hAnsi="Arial"/>
          <w:sz w:val="24"/>
          <w:szCs w:val="24"/>
          <w:lang w:eastAsia="pt-BR"/>
        </w:rPr>
      </w:r>
    </w:p>
    <w:p>
      <w:pPr>
        <w:pStyle w:val="Normal"/>
        <w:ind w:left="510" w:hanging="0"/>
        <w:jc w:val="both"/>
        <w:rPr>
          <w:rFonts w:ascii="Arial" w:hAnsi="Arial" w:cs="Arial"/>
          <w:sz w:val="24"/>
          <w:szCs w:val="24"/>
          <w:lang w:eastAsia="pt-BR"/>
        </w:rPr>
      </w:pPr>
      <w:r>
        <w:rPr>
          <w:rFonts w:cs="Arial" w:ascii="Arial" w:hAnsi="Arial"/>
          <w:b/>
          <w:sz w:val="24"/>
          <w:szCs w:val="24"/>
          <w:lang w:eastAsia="pt-BR"/>
        </w:rPr>
        <w:t>Art. 60 -</w:t>
      </w:r>
      <w:r>
        <w:rPr>
          <w:rFonts w:cs="Arial" w:ascii="Arial" w:hAnsi="Arial"/>
          <w:sz w:val="24"/>
          <w:szCs w:val="24"/>
          <w:lang w:eastAsia="pt-BR"/>
        </w:rPr>
        <w:t xml:space="preserve"> Os tributos lançados e não arrecadados, inscritos em dívida ativa, cujos custos para cobrança sejam superiores ao crédito tributário, poderão ser cancelados, mediante autorização em lei, não se constituindo como renúncia de receita nos termos do art. 14 § 3º da LRF.</w:t>
      </w:r>
    </w:p>
    <w:p>
      <w:pPr>
        <w:pStyle w:val="Normal"/>
        <w:ind w:left="510" w:hanging="0"/>
        <w:jc w:val="both"/>
        <w:rPr>
          <w:rFonts w:ascii="Arial" w:hAnsi="Arial" w:cs="Arial"/>
          <w:sz w:val="24"/>
          <w:szCs w:val="24"/>
          <w:lang w:eastAsia="pt-BR"/>
        </w:rPr>
      </w:pPr>
      <w:r>
        <w:rPr>
          <w:rFonts w:cs="Arial" w:ascii="Arial" w:hAnsi="Arial"/>
          <w:sz w:val="24"/>
          <w:szCs w:val="24"/>
          <w:lang w:eastAsia="pt-BR"/>
        </w:rPr>
      </w:r>
    </w:p>
    <w:p>
      <w:pPr>
        <w:pStyle w:val="Normal"/>
        <w:ind w:left="510" w:hanging="0"/>
        <w:jc w:val="both"/>
        <w:rPr>
          <w:rFonts w:ascii="Arial" w:hAnsi="Arial" w:cs="Arial"/>
          <w:sz w:val="24"/>
          <w:szCs w:val="24"/>
          <w:lang w:eastAsia="pt-BR"/>
        </w:rPr>
      </w:pPr>
      <w:r>
        <w:rPr>
          <w:rFonts w:cs="Arial" w:ascii="Arial" w:hAnsi="Arial"/>
          <w:b/>
          <w:sz w:val="24"/>
          <w:szCs w:val="24"/>
          <w:lang w:eastAsia="pt-BR"/>
        </w:rPr>
        <w:t>Art. 61 -</w:t>
      </w:r>
      <w:r>
        <w:rPr>
          <w:rFonts w:cs="Arial" w:ascii="Arial" w:hAnsi="Arial"/>
          <w:sz w:val="24"/>
          <w:szCs w:val="24"/>
          <w:lang w:eastAsia="pt-BR"/>
        </w:rPr>
        <w:t xml:space="preserve"> O ato que conceder ou ampliar incentivo, isenção ou benefício de natureza tributária ou financeira constante do Orçamento da Receita, somente entrará em vigor após adoção de medidas de compensação de acordo com art. 14, § 2º da LRF</w:t>
      </w:r>
    </w:p>
    <w:p>
      <w:pPr>
        <w:pStyle w:val="Normal"/>
        <w:ind w:left="510" w:hanging="0"/>
        <w:jc w:val="both"/>
        <w:rPr>
          <w:rFonts w:ascii="Arial" w:hAnsi="Arial" w:cs="Arial"/>
          <w:sz w:val="24"/>
          <w:szCs w:val="24"/>
          <w:lang w:eastAsia="pt-BR"/>
        </w:rPr>
      </w:pPr>
      <w:r>
        <w:rPr>
          <w:rFonts w:cs="Arial" w:ascii="Arial" w:hAnsi="Arial"/>
          <w:sz w:val="24"/>
          <w:szCs w:val="24"/>
          <w:lang w:eastAsia="pt-BR"/>
        </w:rPr>
      </w:r>
    </w:p>
    <w:p>
      <w:pPr>
        <w:pStyle w:val="Normal"/>
        <w:ind w:left="510" w:hanging="0"/>
        <w:jc w:val="center"/>
        <w:rPr>
          <w:rFonts w:ascii="Arial" w:hAnsi="Arial" w:cs="Arial"/>
          <w:b/>
          <w:sz w:val="24"/>
          <w:szCs w:val="24"/>
          <w:lang w:eastAsia="pt-BR"/>
        </w:rPr>
      </w:pPr>
      <w:r>
        <w:rPr>
          <w:rFonts w:eastAsia="Calibri" w:cs="Arial" w:ascii="Arial" w:hAnsi="Arial"/>
          <w:b/>
          <w:sz w:val="24"/>
          <w:szCs w:val="24"/>
          <w:lang w:eastAsia="en-US"/>
        </w:rPr>
        <w:t>CAPITULO IX</w:t>
      </w:r>
    </w:p>
    <w:p>
      <w:pPr>
        <w:pStyle w:val="Normal"/>
        <w:keepNext w:val="true"/>
        <w:tabs>
          <w:tab w:val="clear" w:pos="708"/>
          <w:tab w:val="left" w:pos="0" w:leader="none"/>
          <w:tab w:val="left" w:pos="2880" w:leader="none"/>
        </w:tabs>
        <w:ind w:left="510" w:hanging="0"/>
        <w:jc w:val="center"/>
        <w:rPr>
          <w:rFonts w:ascii="Arial" w:hAnsi="Arial" w:eastAsia="Calibri" w:cs="Arial"/>
          <w:b/>
          <w:sz w:val="24"/>
          <w:szCs w:val="24"/>
          <w:lang w:eastAsia="en-US"/>
        </w:rPr>
      </w:pPr>
      <w:r>
        <w:rPr>
          <w:rFonts w:eastAsia="Calibri" w:cs="Arial" w:ascii="Arial" w:hAnsi="Arial"/>
          <w:b/>
          <w:sz w:val="24"/>
          <w:szCs w:val="24"/>
          <w:lang w:eastAsia="en-US"/>
        </w:rPr>
        <w:t>DAS DISPOSIÇÕES GERAIS</w:t>
      </w:r>
    </w:p>
    <w:p>
      <w:pPr>
        <w:pStyle w:val="Normal"/>
        <w:tabs>
          <w:tab w:val="clear" w:pos="708"/>
          <w:tab w:val="left" w:pos="0" w:leader="none"/>
          <w:tab w:val="left" w:pos="540" w:leader="none"/>
          <w:tab w:val="left" w:pos="396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Art. 62 -</w:t>
      </w:r>
      <w:r>
        <w:rPr>
          <w:rFonts w:eastAsia="Calibri" w:cs="Arial" w:ascii="Arial" w:hAnsi="Arial"/>
          <w:sz w:val="24"/>
          <w:szCs w:val="24"/>
          <w:lang w:eastAsia="en-US"/>
        </w:rPr>
        <w:t xml:space="preserve"> O Executivo Municipal enviará a proposta orçamentária à Câmara Municipal até 15 de outubro de 2024, de acordo com o artigo 1º da Lei Municipal nº 817, de 13 de março de 2006. </w:t>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cs="Arial" w:ascii="Arial" w:hAnsi="Arial"/>
          <w:b/>
          <w:sz w:val="24"/>
          <w:szCs w:val="24"/>
        </w:rPr>
        <w:t>Art. 63 -</w:t>
      </w:r>
      <w:r>
        <w:rPr>
          <w:rFonts w:cs="Arial" w:ascii="Arial" w:hAnsi="Arial"/>
          <w:sz w:val="24"/>
          <w:szCs w:val="24"/>
        </w:rPr>
        <w:t xml:space="preserve"> Para efeito de consolidação do Orçamento do Município, o Poder Legislativo encaminhará ao Poder Executivo sua proposta orçamentária com 30 (trinta) dias de antecedência do prazo da entrega da Lei Orçamentária Anual - LOA para o exercício de 2025.</w:t>
      </w:r>
    </w:p>
    <w:p>
      <w:pPr>
        <w:pStyle w:val="Normal"/>
        <w:tabs>
          <w:tab w:val="clear" w:pos="708"/>
          <w:tab w:val="left" w:pos="0" w:leader="none"/>
          <w:tab w:val="left" w:pos="2880" w:leader="none"/>
        </w:tabs>
        <w:ind w:left="510" w:hanging="0"/>
        <w:jc w:val="both"/>
        <w:rPr>
          <w:rFonts w:ascii="Arial" w:hAnsi="Arial" w:cs="Arial"/>
          <w:b/>
          <w:bCs/>
          <w:sz w:val="24"/>
          <w:szCs w:val="24"/>
        </w:rPr>
      </w:pPr>
      <w:r>
        <w:rPr>
          <w:rFonts w:cs="Arial" w:ascii="Arial" w:hAnsi="Arial"/>
          <w:b/>
          <w:bCs/>
          <w:sz w:val="24"/>
          <w:szCs w:val="24"/>
        </w:rPr>
      </w:r>
    </w:p>
    <w:p>
      <w:pPr>
        <w:pStyle w:val="Normal"/>
        <w:tabs>
          <w:tab w:val="clear" w:pos="708"/>
          <w:tab w:val="left" w:pos="0" w:leader="none"/>
          <w:tab w:val="left" w:pos="2880" w:leader="none"/>
        </w:tabs>
        <w:ind w:left="510" w:hanging="0"/>
        <w:jc w:val="both"/>
        <w:rPr>
          <w:rFonts w:ascii="Arial" w:hAnsi="Arial" w:cs="Arial"/>
          <w:sz w:val="24"/>
          <w:szCs w:val="24"/>
        </w:rPr>
      </w:pPr>
      <w:r>
        <w:rPr>
          <w:rFonts w:cs="Arial" w:ascii="Arial" w:hAnsi="Arial"/>
          <w:b/>
          <w:bCs/>
          <w:sz w:val="24"/>
          <w:szCs w:val="24"/>
        </w:rPr>
        <w:t>Art. 64 -</w:t>
      </w:r>
      <w:r>
        <w:rPr>
          <w:rFonts w:cs="Arial" w:ascii="Arial" w:hAnsi="Arial"/>
          <w:sz w:val="24"/>
          <w:szCs w:val="24"/>
        </w:rPr>
        <w:t>O Poder Executivo poderá encaminhar mensagem ao Poder Legislativo para propor modificação nos projetos de lei relativos ao Plano Plurianual, às Diretrizes Orçamentárias, ao Orçamento Anual e aos Créditos Adicionais enquanto não iniciada a votação, no tocante às partes cuja alteração é proposta.</w:t>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Art. 65-</w:t>
      </w:r>
      <w:r>
        <w:rPr>
          <w:rFonts w:eastAsia="Calibri" w:cs="Arial" w:ascii="Arial" w:hAnsi="Arial"/>
          <w:sz w:val="24"/>
          <w:szCs w:val="24"/>
          <w:lang w:eastAsia="en-US"/>
        </w:rPr>
        <w:t xml:space="preserve"> Se o projeto de lei orçamentária anual não for encaminhado à sanção até o início do exercício financeiro de 2025, fica o Executivo Municipal autorizado a executar a proposta orçamentária na forma original, até a sanção da respectiva lei orçamentária anual.</w:t>
      </w:r>
    </w:p>
    <w:p>
      <w:pPr>
        <w:pStyle w:val="Normal"/>
        <w:tabs>
          <w:tab w:val="clear" w:pos="708"/>
          <w:tab w:val="left" w:pos="0" w:leader="none"/>
          <w:tab w:val="left" w:pos="540" w:leader="none"/>
          <w:tab w:val="left" w:pos="396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Art. 66 -</w:t>
      </w:r>
      <w:r>
        <w:rPr>
          <w:rFonts w:eastAsia="Calibri" w:cs="Arial" w:ascii="Arial" w:hAnsi="Arial"/>
          <w:sz w:val="24"/>
          <w:szCs w:val="24"/>
          <w:lang w:eastAsia="en-US"/>
        </w:rPr>
        <w:t xml:space="preserve"> Serão consideradas legais as despesas com multas e juros pelo eventual atraso no pagamento de compromissos assumidos, motivados por insuficiência de tesouraria.</w:t>
      </w:r>
    </w:p>
    <w:p>
      <w:pPr>
        <w:pStyle w:val="Normal"/>
        <w:tabs>
          <w:tab w:val="clear" w:pos="708"/>
          <w:tab w:val="left" w:pos="0" w:leader="none"/>
          <w:tab w:val="left" w:pos="540" w:leader="none"/>
          <w:tab w:val="left" w:pos="396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 xml:space="preserve"> </w:t>
      </w:r>
      <w:r>
        <w:rPr>
          <w:rFonts w:eastAsia="Calibri" w:cs="Arial" w:ascii="Arial" w:hAnsi="Arial"/>
          <w:b/>
          <w:sz w:val="24"/>
          <w:szCs w:val="24"/>
          <w:lang w:eastAsia="en-US"/>
        </w:rPr>
        <w:t>Art. 67 -</w:t>
      </w:r>
      <w:r>
        <w:rPr>
          <w:rFonts w:eastAsia="Calibri" w:cs="Arial" w:ascii="Arial" w:hAnsi="Arial"/>
          <w:sz w:val="24"/>
          <w:szCs w:val="24"/>
          <w:lang w:eastAsia="en-US"/>
        </w:rPr>
        <w:t xml:space="preserve"> Os créditos especiais e extraordinários, abertos nos últimos quatro meses do exercício, poderão ser reabertos no exercício subsequente, por Decreto do Executivo.</w:t>
      </w:r>
    </w:p>
    <w:p>
      <w:pPr>
        <w:pStyle w:val="Normal"/>
        <w:tabs>
          <w:tab w:val="clear" w:pos="708"/>
          <w:tab w:val="left" w:pos="0" w:leader="none"/>
          <w:tab w:val="left" w:pos="540" w:leader="none"/>
          <w:tab w:val="left" w:pos="396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Art. 68 -</w:t>
      </w:r>
      <w:r>
        <w:rPr>
          <w:rFonts w:eastAsia="Calibri" w:cs="Arial" w:ascii="Arial" w:hAnsi="Arial"/>
          <w:sz w:val="24"/>
          <w:szCs w:val="24"/>
          <w:lang w:eastAsia="en-US"/>
        </w:rPr>
        <w:t xml:space="preserve"> O Executivo Municipal está autorizado a assinar convênios com o Governo Federal e Estadual através de seus órgãos da administração direta ou indireta, para realização de obras ou serviços de competência ou não do Município. </w:t>
      </w:r>
    </w:p>
    <w:p>
      <w:pPr>
        <w:pStyle w:val="Normal"/>
        <w:tabs>
          <w:tab w:val="clear" w:pos="708"/>
          <w:tab w:val="left" w:pos="0" w:leader="none"/>
          <w:tab w:val="left" w:pos="540" w:leader="none"/>
          <w:tab w:val="left" w:pos="396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b/>
          <w:sz w:val="24"/>
          <w:szCs w:val="24"/>
          <w:lang w:eastAsia="en-US"/>
        </w:rPr>
        <w:t>Art. 69 -</w:t>
      </w:r>
      <w:r>
        <w:rPr>
          <w:rFonts w:eastAsia="Calibri" w:cs="Arial" w:ascii="Arial" w:hAnsi="Arial"/>
          <w:sz w:val="24"/>
          <w:szCs w:val="24"/>
          <w:lang w:eastAsia="en-US"/>
        </w:rPr>
        <w:t xml:space="preserve"> Esta Lei entrará em vigor na data de sua publicação, revogando-se as disposições contrarias. </w:t>
      </w:r>
    </w:p>
    <w:p>
      <w:pPr>
        <w:pStyle w:val="Normal"/>
        <w:tabs>
          <w:tab w:val="clear" w:pos="708"/>
          <w:tab w:val="left" w:pos="0" w:leader="none"/>
          <w:tab w:val="left" w:pos="2880" w:leader="none"/>
        </w:tabs>
        <w:ind w:left="510" w:hanging="0"/>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4395" w:leader="none"/>
        </w:tabs>
        <w:ind w:left="510" w:hanging="0"/>
        <w:rPr>
          <w:rFonts w:ascii="Arial" w:hAnsi="Arial" w:eastAsia="Calibri" w:cs="Arial"/>
          <w:b/>
          <w:sz w:val="24"/>
          <w:szCs w:val="24"/>
          <w:lang w:eastAsia="en-US"/>
        </w:rPr>
      </w:pPr>
      <w:r>
        <w:rPr>
          <w:rFonts w:eastAsia="Calibri" w:cs="Arial" w:ascii="Arial" w:hAnsi="Arial"/>
          <w:b/>
          <w:sz w:val="24"/>
          <w:szCs w:val="24"/>
          <w:lang w:eastAsia="en-US"/>
        </w:rPr>
        <w:tab/>
      </w:r>
    </w:p>
    <w:p>
      <w:pPr>
        <w:pStyle w:val="Normal"/>
        <w:tabs>
          <w:tab w:val="clear" w:pos="708"/>
          <w:tab w:val="left" w:pos="4395" w:leader="none"/>
        </w:tabs>
        <w:ind w:left="510" w:hanging="0"/>
        <w:rPr>
          <w:rFonts w:ascii="Arial" w:hAnsi="Arial" w:eastAsia="Calibri" w:cs="Arial"/>
          <w:b/>
          <w:sz w:val="24"/>
          <w:szCs w:val="24"/>
          <w:lang w:eastAsia="en-US"/>
        </w:rPr>
      </w:pPr>
      <w:r>
        <w:rPr>
          <w:rFonts w:eastAsia="Calibri" w:cs="Arial" w:ascii="Arial" w:hAnsi="Arial"/>
          <w:b/>
          <w:sz w:val="24"/>
          <w:szCs w:val="24"/>
          <w:lang w:eastAsia="en-US"/>
        </w:rPr>
      </w:r>
    </w:p>
    <w:p>
      <w:pPr>
        <w:pStyle w:val="Normal"/>
        <w:jc w:val="both"/>
        <w:rPr>
          <w:rFonts w:ascii="Arial" w:hAnsi="Arial" w:cs="Arial"/>
        </w:rPr>
      </w:pPr>
      <w:r>
        <w:rPr>
          <w:rFonts w:eastAsia="Arial" w:cs="Arial" w:ascii="Arial" w:hAnsi="Arial"/>
          <w:b/>
          <w:sz w:val="24"/>
          <w:szCs w:val="24"/>
        </w:rPr>
        <w:t>PREFEITURA MUNICIPAL DE PIRAÍ,</w:t>
      </w:r>
      <w:r>
        <w:rPr>
          <w:rFonts w:eastAsia="Arial" w:cs="Arial" w:ascii="Arial" w:hAnsi="Arial"/>
          <w:sz w:val="24"/>
          <w:szCs w:val="24"/>
        </w:rPr>
        <w:t xml:space="preserve"> em 19 de agosto de 2024.</w:t>
      </w:r>
    </w:p>
    <w:p>
      <w:pPr>
        <w:pStyle w:val="Normal"/>
        <w:tabs>
          <w:tab w:val="clear" w:pos="708"/>
          <w:tab w:val="left" w:pos="4395" w:leader="none"/>
        </w:tabs>
        <w:ind w:left="510" w:hanging="0"/>
        <w:rPr>
          <w:rFonts w:ascii="Arial" w:hAnsi="Arial" w:eastAsia="Calibri" w:cs="Arial"/>
          <w:b/>
          <w:sz w:val="24"/>
          <w:szCs w:val="24"/>
          <w:lang w:eastAsia="en-US"/>
        </w:rPr>
      </w:pPr>
      <w:r>
        <w:rPr>
          <w:rFonts w:eastAsia="Calibri" w:cs="Arial" w:ascii="Arial" w:hAnsi="Arial"/>
          <w:b/>
          <w:sz w:val="24"/>
          <w:szCs w:val="24"/>
          <w:lang w:eastAsia="en-US"/>
        </w:rPr>
      </w:r>
    </w:p>
    <w:p>
      <w:pPr>
        <w:pStyle w:val="Normal"/>
        <w:tabs>
          <w:tab w:val="clear" w:pos="708"/>
          <w:tab w:val="left" w:pos="4395" w:leader="none"/>
        </w:tabs>
        <w:ind w:left="510" w:hanging="0"/>
        <w:rPr>
          <w:rFonts w:ascii="Arial" w:hAnsi="Arial" w:eastAsia="Calibri" w:cs="Arial"/>
          <w:b/>
          <w:sz w:val="24"/>
          <w:szCs w:val="24"/>
          <w:lang w:eastAsia="en-US"/>
        </w:rPr>
      </w:pPr>
      <w:r>
        <w:rPr>
          <w:rFonts w:eastAsia="Calibri" w:cs="Arial" w:ascii="Arial" w:hAnsi="Arial"/>
          <w:b/>
          <w:sz w:val="24"/>
          <w:szCs w:val="24"/>
          <w:lang w:eastAsia="en-US"/>
        </w:rPr>
      </w:r>
    </w:p>
    <w:p>
      <w:pPr>
        <w:pStyle w:val="Normal"/>
        <w:tabs>
          <w:tab w:val="clear" w:pos="708"/>
          <w:tab w:val="left" w:pos="4395" w:leader="none"/>
        </w:tabs>
        <w:ind w:left="510" w:hanging="0"/>
        <w:rPr>
          <w:rFonts w:ascii="Arial" w:hAnsi="Arial" w:eastAsia="Calibri" w:cs="Arial"/>
          <w:b/>
          <w:sz w:val="24"/>
          <w:szCs w:val="24"/>
          <w:lang w:eastAsia="en-US"/>
        </w:rPr>
      </w:pPr>
      <w:r>
        <w:rPr>
          <w:rFonts w:eastAsia="Calibri" w:cs="Arial" w:ascii="Arial" w:hAnsi="Arial"/>
          <w:b/>
          <w:sz w:val="24"/>
          <w:szCs w:val="24"/>
          <w:lang w:eastAsia="en-US"/>
        </w:rPr>
      </w:r>
    </w:p>
    <w:p>
      <w:pPr>
        <w:pStyle w:val="Artigo"/>
        <w:spacing w:before="0" w:after="0"/>
        <w:ind w:left="510" w:right="169" w:hanging="0"/>
        <w:jc w:val="center"/>
        <w:rPr>
          <w:b/>
          <w:bCs/>
          <w:sz w:val="24"/>
          <w:szCs w:val="24"/>
        </w:rPr>
      </w:pPr>
      <w:r>
        <w:rPr>
          <w:b/>
          <w:bCs/>
          <w:sz w:val="24"/>
          <w:szCs w:val="24"/>
        </w:rPr>
      </w:r>
    </w:p>
    <w:p>
      <w:pPr>
        <w:pStyle w:val="Artigo"/>
        <w:spacing w:before="0" w:after="0"/>
        <w:ind w:left="510" w:right="169" w:hanging="0"/>
        <w:jc w:val="center"/>
        <w:rPr>
          <w:b/>
          <w:bCs/>
          <w:sz w:val="24"/>
          <w:szCs w:val="24"/>
        </w:rPr>
      </w:pPr>
      <w:r>
        <w:rPr>
          <w:b/>
          <w:bCs/>
          <w:sz w:val="24"/>
          <w:szCs w:val="24"/>
        </w:rPr>
        <w:t>RICARDO CAMPOS PASSOS</w:t>
      </w:r>
    </w:p>
    <w:p>
      <w:pPr>
        <w:pStyle w:val="Normal"/>
        <w:tabs>
          <w:tab w:val="clear" w:pos="708"/>
          <w:tab w:val="left" w:pos="851" w:leader="none"/>
        </w:tabs>
        <w:ind w:left="510" w:hanging="0"/>
        <w:jc w:val="center"/>
        <w:rPr>
          <w:rFonts w:ascii="Arial" w:hAnsi="Arial" w:eastAsia="Calibri" w:cs="Arial"/>
          <w:b/>
          <w:bCs/>
          <w:sz w:val="24"/>
          <w:szCs w:val="24"/>
          <w:lang w:eastAsia="en-US"/>
        </w:rPr>
      </w:pPr>
      <w:r>
        <w:rPr>
          <w:rFonts w:eastAsia="Calibri" w:cs="Arial" w:ascii="Arial" w:hAnsi="Arial"/>
          <w:b/>
          <w:bCs/>
          <w:sz w:val="24"/>
          <w:szCs w:val="24"/>
          <w:lang w:eastAsia="en-US"/>
        </w:rPr>
        <w:t>Prefeito Municipal de Piraí</w:t>
      </w:r>
    </w:p>
    <w:p>
      <w:pPr>
        <w:pStyle w:val="Normal"/>
        <w:tabs>
          <w:tab w:val="clear" w:pos="708"/>
          <w:tab w:val="left" w:pos="4395" w:leader="none"/>
        </w:tabs>
        <w:ind w:left="510" w:hanging="0"/>
        <w:rPr>
          <w:rFonts w:ascii="Arial" w:hAnsi="Arial" w:eastAsia="Calibri" w:cs="Arial"/>
          <w:b/>
          <w:sz w:val="24"/>
          <w:szCs w:val="24"/>
          <w:lang w:eastAsia="en-US"/>
        </w:rPr>
      </w:pPr>
      <w:r>
        <w:rPr>
          <w:rFonts w:eastAsia="Calibri" w:cs="Arial" w:ascii="Arial" w:hAnsi="Arial"/>
          <w:b/>
          <w:sz w:val="24"/>
          <w:szCs w:val="24"/>
          <w:lang w:eastAsia="en-US"/>
        </w:rPr>
      </w:r>
    </w:p>
    <w:p>
      <w:pPr>
        <w:pStyle w:val="Normal"/>
        <w:ind w:left="510" w:hanging="0"/>
        <w:jc w:val="center"/>
        <w:rPr>
          <w:rFonts w:ascii="Arial" w:hAnsi="Arial" w:eastAsia="Calibri" w:cs="Arial"/>
          <w:b/>
          <w:sz w:val="24"/>
          <w:szCs w:val="24"/>
          <w:lang w:eastAsia="en-US"/>
        </w:rPr>
      </w:pPr>
      <w:r>
        <w:rPr/>
      </w:r>
    </w:p>
    <w:sectPr>
      <w:headerReference w:type="even" r:id="rId2"/>
      <w:headerReference w:type="default" r:id="rId3"/>
      <w:headerReference w:type="first" r:id="rId4"/>
      <w:footerReference w:type="default" r:id="rId5"/>
      <w:type w:val="nextPage"/>
      <w:pgSz w:w="11906" w:h="16838"/>
      <w:pgMar w:left="567" w:right="707" w:gutter="0" w:header="708" w:top="1417"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b/>
        <w:i/>
        <w:i/>
        <w:sz w:val="20"/>
      </w:rPr>
    </w:pPr>
    <w:r>
      <w:rPr/>
      <w:drawing>
        <wp:inline distT="0" distB="0" distL="0" distR="0">
          <wp:extent cx="6478270" cy="482600"/>
          <wp:effectExtent l="0" t="0" r="0" b="0"/>
          <wp:docPr id="11" name="Imagem 1" descr="EDERECO SECRETARIA DE 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 descr="EDERECO SECRETARIA DE EDUCAÇÃO.png"/>
                  <pic:cNvPicPr>
                    <a:picLocks noChangeAspect="1" noChangeArrowheads="1"/>
                  </pic:cNvPicPr>
                </pic:nvPicPr>
                <pic:blipFill>
                  <a:blip r:embed="rId1"/>
                  <a:stretch>
                    <a:fillRect/>
                  </a:stretch>
                </pic:blipFill>
                <pic:spPr bwMode="auto">
                  <a:xfrm>
                    <a:off x="0" y="0"/>
                    <a:ext cx="6478270" cy="48260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mc:AlternateContent>
        <mc:Choice Requires="wps">
          <w:drawing>
            <wp:anchor behindDoc="1" distT="0" distB="0" distL="0" distR="0" simplePos="0" locked="0" layoutInCell="0" allowOverlap="1" relativeHeight="50">
              <wp:simplePos x="0" y="0"/>
              <wp:positionH relativeFrom="margin">
                <wp:align>center</wp:align>
              </wp:positionH>
              <wp:positionV relativeFrom="margin">
                <wp:align>center</wp:align>
              </wp:positionV>
              <wp:extent cx="3355975" cy="3553460"/>
              <wp:effectExtent l="0" t="0" r="0" b="0"/>
              <wp:wrapNone/>
              <wp:docPr id="1" name="WordPictureWatermark19203985"/>
              <a:graphic xmlns:a="http://schemas.openxmlformats.org/drawingml/2006/main">
                <a:graphicData uri="http://schemas.openxmlformats.org/drawingml/2006/picture">
                  <pic:pic xmlns:pic="http://schemas.openxmlformats.org/drawingml/2006/picture">
                    <pic:nvPicPr>
                      <pic:cNvPr id="2" name="WordPictureWatermark19203985" descr=""/>
                      <pic:cNvPicPr/>
                    </pic:nvPicPr>
                    <pic:blipFill>
                      <a:blip r:embed="rId1"/>
                      <a:stretch/>
                    </pic:blipFill>
                    <pic:spPr>
                      <a:xfrm>
                        <a:off x="0" y="0"/>
                        <a:ext cx="3355920" cy="3553560"/>
                      </a:xfrm>
                      <a:prstGeom prst="rect">
                        <a:avLst/>
                      </a:prstGeom>
                      <a:ln w="0">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03985" o:spid="shape_0" stroked="f" o:allowincell="f" style="position:absolute;margin-left:0.05pt;margin-top:0pt;width:264.2pt;height:279.75pt;mso-wrap-style:none;v-text-anchor:middle;mso-position-horizontal:center;mso-position-horizontal-relative:margin;mso-position-vertical:center;mso-position-vertical-relative:margin" type="_x0000_t75">
              <v:imagedata r:id="rId2" o:detectmouseclick="t"/>
              <v:stroke color="#3465a4" joinstyle="round" endcap="flat"/>
              <w10:wrap type="none"/>
            </v:shape>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jc w:val="center"/>
      <w:rPr/>
    </w:pPr>
    <w:r>
      <w:rPr/>
      <mc:AlternateContent>
        <mc:Choice Requires="wps">
          <w:drawing>
            <wp:anchor behindDoc="1" distT="0" distB="0" distL="0" distR="0" simplePos="0" locked="0" layoutInCell="0" allowOverlap="1" relativeHeight="66">
              <wp:simplePos x="0" y="0"/>
              <wp:positionH relativeFrom="margin">
                <wp:align>center</wp:align>
              </wp:positionH>
              <wp:positionV relativeFrom="margin">
                <wp:align>center</wp:align>
              </wp:positionV>
              <wp:extent cx="3355975" cy="3553460"/>
              <wp:effectExtent l="0" t="0" r="0" b="0"/>
              <wp:wrapNone/>
              <wp:docPr id="3" name="WordPictureWatermark19203986"/>
              <a:graphic xmlns:a="http://schemas.openxmlformats.org/drawingml/2006/main">
                <a:graphicData uri="http://schemas.openxmlformats.org/drawingml/2006/picture">
                  <pic:pic xmlns:pic="http://schemas.openxmlformats.org/drawingml/2006/picture">
                    <pic:nvPicPr>
                      <pic:cNvPr id="4" name="WordPictureWatermark19203986" descr=""/>
                      <pic:cNvPicPr/>
                    </pic:nvPicPr>
                    <pic:blipFill>
                      <a:blip r:embed="rId1"/>
                      <a:stretch/>
                    </pic:blipFill>
                    <pic:spPr>
                      <a:xfrm>
                        <a:off x="0" y="0"/>
                        <a:ext cx="3355920" cy="3553560"/>
                      </a:xfrm>
                      <a:prstGeom prst="rect">
                        <a:avLst/>
                      </a:prstGeom>
                      <a:ln w="0">
                        <a:noFill/>
                      </a:ln>
                    </pic:spPr>
                  </pic:pic>
                </a:graphicData>
              </a:graphic>
            </wp:anchor>
          </w:drawing>
        </mc:Choice>
        <mc:Fallback>
          <w:pict>
            <v:shape id="WordPictureWatermark19203986" o:spid="shape_0" stroked="f" o:allowincell="f" style="position:absolute;margin-left:133.65pt;margin-top:177.55pt;width:264.2pt;height:279.75pt;mso-wrap-style:none;v-text-anchor:middle;mso-position-horizontal:center;mso-position-horizontal-relative:margin;mso-position-vertical:center;mso-position-vertical-relative:margin" type="_x0000_t75">
              <v:imagedata r:id="rId2" o:detectmouseclick="t"/>
              <v:stroke color="#3465a4" joinstyle="round" endcap="flat"/>
              <w10:wrap type="none"/>
            </v:shape>
          </w:pict>
        </mc:Fallback>
      </mc:AlternateContent>
      <w:drawing>
        <wp:inline distT="0" distB="0" distL="0" distR="0">
          <wp:extent cx="4700270" cy="904875"/>
          <wp:effectExtent l="0" t="0" r="0" b="0"/>
          <wp:docPr id="5" name="Imagem 0" descr="LOGO SECRETARIA MUNICIPAL DE EDUCAÇÃ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0" descr="LOGO SECRETARIA MUNICIPAL DE EDUCAÇÃO 2.png"/>
                  <pic:cNvPicPr>
                    <a:picLocks noChangeAspect="1" noChangeArrowheads="1"/>
                  </pic:cNvPicPr>
                </pic:nvPicPr>
                <pic:blipFill>
                  <a:blip r:embed="rId3"/>
                  <a:stretch>
                    <a:fillRect/>
                  </a:stretch>
                </pic:blipFill>
                <pic:spPr bwMode="auto">
                  <a:xfrm>
                    <a:off x="0" y="0"/>
                    <a:ext cx="4700270" cy="904875"/>
                  </a:xfrm>
                  <a:prstGeom prst="rect">
                    <a:avLst/>
                  </a:prstGeom>
                </pic:spPr>
              </pic:pic>
            </a:graphicData>
          </a:graphic>
        </wp:inline>
      </w:drawing>
    </w:r>
  </w:p>
  <w:p>
    <w:pPr>
      <w:pStyle w:val="Cabealho"/>
      <w:jc w:val="center"/>
      <w:rPr/>
    </w:pPr>
    <w:r>
      <w:rPr/>
      <w:drawing>
        <wp:inline distT="0" distB="0" distL="0" distR="0">
          <wp:extent cx="6751320" cy="158750"/>
          <wp:effectExtent l="0" t="0" r="0" b="0"/>
          <wp:docPr id="6" name="Imagem 2" descr="BARR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2" descr="BARRA AZUL.png"/>
                  <pic:cNvPicPr>
                    <a:picLocks noChangeAspect="1" noChangeArrowheads="1"/>
                  </pic:cNvPicPr>
                </pic:nvPicPr>
                <pic:blipFill>
                  <a:blip r:embed="rId4"/>
                  <a:stretch>
                    <a:fillRect/>
                  </a:stretch>
                </pic:blipFill>
                <pic:spPr bwMode="auto">
                  <a:xfrm>
                    <a:off x="0" y="0"/>
                    <a:ext cx="6751320" cy="158750"/>
                  </a:xfrm>
                  <a:prstGeom prst="rect">
                    <a:avLst/>
                  </a:prstGeom>
                </pic:spPr>
              </pic:pic>
            </a:graphicData>
          </a:graphic>
        </wp:inline>
      </w:drawing>
    </w:r>
  </w:p>
  <w:p>
    <w:pPr>
      <w:pStyle w:val="Cabealho"/>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jc w:val="center"/>
      <w:rPr/>
    </w:pPr>
    <w:r>
      <w:rPr/>
      <mc:AlternateContent>
        <mc:Choice Requires="wps">
          <w:drawing>
            <wp:anchor behindDoc="1" distT="0" distB="0" distL="0" distR="0" simplePos="0" locked="0" layoutInCell="0" allowOverlap="1" relativeHeight="66">
              <wp:simplePos x="0" y="0"/>
              <wp:positionH relativeFrom="margin">
                <wp:align>center</wp:align>
              </wp:positionH>
              <wp:positionV relativeFrom="margin">
                <wp:align>center</wp:align>
              </wp:positionV>
              <wp:extent cx="3355975" cy="3553460"/>
              <wp:effectExtent l="0" t="0" r="0" b="0"/>
              <wp:wrapNone/>
              <wp:docPr id="7" name="WordPictureWatermark19203986"/>
              <a:graphic xmlns:a="http://schemas.openxmlformats.org/drawingml/2006/main">
                <a:graphicData uri="http://schemas.openxmlformats.org/drawingml/2006/picture">
                  <pic:pic xmlns:pic="http://schemas.openxmlformats.org/drawingml/2006/picture">
                    <pic:nvPicPr>
                      <pic:cNvPr id="8" name="WordPictureWatermark19203986" descr=""/>
                      <pic:cNvPicPr/>
                    </pic:nvPicPr>
                    <pic:blipFill>
                      <a:blip r:embed="rId1"/>
                      <a:stretch/>
                    </pic:blipFill>
                    <pic:spPr>
                      <a:xfrm>
                        <a:off x="0" y="0"/>
                        <a:ext cx="3355920" cy="3553560"/>
                      </a:xfrm>
                      <a:prstGeom prst="rect">
                        <a:avLst/>
                      </a:prstGeom>
                      <a:ln w="0">
                        <a:noFill/>
                      </a:ln>
                    </pic:spPr>
                  </pic:pic>
                </a:graphicData>
              </a:graphic>
            </wp:anchor>
          </w:drawing>
        </mc:Choice>
        <mc:Fallback>
          <w:pict>
            <v:shape id="WordPictureWatermark19203986" o:spid="shape_0" stroked="f" o:allowincell="f" style="position:absolute;margin-left:133.65pt;margin-top:177.55pt;width:264.2pt;height:279.75pt;mso-wrap-style:none;v-text-anchor:middle;mso-position-horizontal:center;mso-position-horizontal-relative:margin;mso-position-vertical:center;mso-position-vertical-relative:margin" type="_x0000_t75">
              <v:imagedata r:id="rId2" o:detectmouseclick="t"/>
              <v:stroke color="#3465a4" joinstyle="round" endcap="flat"/>
              <w10:wrap type="none"/>
            </v:shape>
          </w:pict>
        </mc:Fallback>
      </mc:AlternateContent>
      <w:drawing>
        <wp:inline distT="0" distB="0" distL="0" distR="0">
          <wp:extent cx="4700270" cy="904875"/>
          <wp:effectExtent l="0" t="0" r="0" b="0"/>
          <wp:docPr id="9" name="Imagem 0" descr="LOGO SECRETARIA MUNICIPAL DE EDUCAÇÃ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0" descr="LOGO SECRETARIA MUNICIPAL DE EDUCAÇÃO 2.png"/>
                  <pic:cNvPicPr>
                    <a:picLocks noChangeAspect="1" noChangeArrowheads="1"/>
                  </pic:cNvPicPr>
                </pic:nvPicPr>
                <pic:blipFill>
                  <a:blip r:embed="rId3"/>
                  <a:stretch>
                    <a:fillRect/>
                  </a:stretch>
                </pic:blipFill>
                <pic:spPr bwMode="auto">
                  <a:xfrm>
                    <a:off x="0" y="0"/>
                    <a:ext cx="4700270" cy="904875"/>
                  </a:xfrm>
                  <a:prstGeom prst="rect">
                    <a:avLst/>
                  </a:prstGeom>
                </pic:spPr>
              </pic:pic>
            </a:graphicData>
          </a:graphic>
        </wp:inline>
      </w:drawing>
    </w:r>
  </w:p>
  <w:p>
    <w:pPr>
      <w:pStyle w:val="Cabealho"/>
      <w:jc w:val="center"/>
      <w:rPr/>
    </w:pPr>
    <w:r>
      <w:rPr/>
      <w:drawing>
        <wp:inline distT="0" distB="0" distL="0" distR="0">
          <wp:extent cx="6751320" cy="158750"/>
          <wp:effectExtent l="0" t="0" r="0" b="0"/>
          <wp:docPr id="10" name="Imagem 2" descr="BARR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2" descr="BARRA AZUL.png"/>
                  <pic:cNvPicPr>
                    <a:picLocks noChangeAspect="1" noChangeArrowheads="1"/>
                  </pic:cNvPicPr>
                </pic:nvPicPr>
                <pic:blipFill>
                  <a:blip r:embed="rId4"/>
                  <a:stretch>
                    <a:fillRect/>
                  </a:stretch>
                </pic:blipFill>
                <pic:spPr bwMode="auto">
                  <a:xfrm>
                    <a:off x="0" y="0"/>
                    <a:ext cx="6751320" cy="158750"/>
                  </a:xfrm>
                  <a:prstGeom prst="rect">
                    <a:avLst/>
                  </a:prstGeom>
                </pic:spPr>
              </pic:pic>
            </a:graphicData>
          </a:graphic>
        </wp:inline>
      </w:drawing>
    </w:r>
  </w:p>
  <w:p>
    <w:pPr>
      <w:pStyle w:val="Cabealho"/>
      <w:rPr/>
    </w:pPr>
    <w:r>
      <w:rPr/>
    </w:r>
  </w:p>
</w:hdr>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45e5f"/>
    <w:pPr>
      <w:widowControl/>
      <w:suppressAutoHyphens w:val="true"/>
      <w:bidi w:val="0"/>
      <w:spacing w:before="0" w:after="0"/>
      <w:jc w:val="left"/>
    </w:pPr>
    <w:rPr>
      <w:rFonts w:ascii="Times New Roman" w:hAnsi="Times New Roman" w:eastAsia="Times New Roman" w:cs="Times New Roman"/>
      <w:color w:val="auto"/>
      <w:kern w:val="0"/>
      <w:sz w:val="20"/>
      <w:szCs w:val="20"/>
      <w:lang w:eastAsia="zh-CN" w:val="pt-BR" w:bidi="ar-SA"/>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001a8a"/>
    <w:rPr/>
  </w:style>
  <w:style w:type="character" w:styleId="RodapChar" w:customStyle="1">
    <w:name w:val="Rodapé Char"/>
    <w:basedOn w:val="DefaultParagraphFont"/>
    <w:uiPriority w:val="99"/>
    <w:semiHidden/>
    <w:qFormat/>
    <w:rsid w:val="00001a8a"/>
    <w:rPr/>
  </w:style>
  <w:style w:type="character" w:styleId="TextodebaloChar" w:customStyle="1">
    <w:name w:val="Texto de balão Char"/>
    <w:basedOn w:val="DefaultParagraphFont"/>
    <w:link w:val="BalloonText"/>
    <w:uiPriority w:val="99"/>
    <w:semiHidden/>
    <w:qFormat/>
    <w:rsid w:val="00001a8a"/>
    <w:rPr>
      <w:rFonts w:ascii="Tahoma" w:hAnsi="Tahoma" w:cs="Tahoma"/>
      <w:sz w:val="16"/>
      <w:szCs w:val="16"/>
    </w:rPr>
  </w:style>
  <w:style w:type="character" w:styleId="Negrito" w:customStyle="1">
    <w:name w:val="Negrito"/>
    <w:qFormat/>
    <w:rsid w:val="00745e5f"/>
    <w:rPr>
      <w:b/>
      <w:smallCaps/>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rsid w:val="00ec3f07"/>
    <w:pPr>
      <w:spacing w:lineRule="auto" w:line="276" w:before="0" w:after="140"/>
    </w:pPr>
    <w:rPr/>
  </w:style>
  <w:style w:type="paragraph" w:styleId="Lista">
    <w:name w:val="List"/>
    <w:basedOn w:val="Corpodotexto"/>
    <w:rsid w:val="00ec3f07"/>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rsid w:val="00ec3f07"/>
    <w:pPr>
      <w:suppressLineNumbers/>
    </w:pPr>
    <w:rPr>
      <w:rFonts w:cs="Lucida Sans"/>
    </w:rPr>
  </w:style>
  <w:style w:type="paragraph" w:styleId="Ttulododocumento">
    <w:name w:val="Title"/>
    <w:basedOn w:val="Normal"/>
    <w:next w:val="Corpodotexto"/>
    <w:qFormat/>
    <w:rsid w:val="00ec3f07"/>
    <w:pPr>
      <w:keepNext w:val="true"/>
      <w:spacing w:before="240" w:after="120"/>
    </w:pPr>
    <w:rPr>
      <w:rFonts w:ascii="Liberation Sans" w:hAnsi="Liberation Sans" w:eastAsia="Microsoft YaHei" w:cs="Lucida Sans"/>
      <w:sz w:val="28"/>
      <w:szCs w:val="28"/>
    </w:rPr>
  </w:style>
  <w:style w:type="paragraph" w:styleId="Caption">
    <w:name w:val="caption"/>
    <w:basedOn w:val="Normal"/>
    <w:qFormat/>
    <w:rsid w:val="00ec3f07"/>
    <w:pPr>
      <w:suppressLineNumbers/>
      <w:spacing w:before="120" w:after="120"/>
    </w:pPr>
    <w:rPr>
      <w:rFonts w:cs="Lucida Sans"/>
      <w:i/>
      <w:iCs/>
      <w:sz w:val="24"/>
      <w:szCs w:val="24"/>
    </w:rPr>
  </w:style>
  <w:style w:type="paragraph" w:styleId="CabealhoeRodap" w:customStyle="1">
    <w:name w:val="Cabeçalho e Rodapé"/>
    <w:basedOn w:val="Normal"/>
    <w:qFormat/>
    <w:rsid w:val="00ec3f07"/>
    <w:pPr/>
    <w:rPr/>
  </w:style>
  <w:style w:type="paragraph" w:styleId="Cabealho">
    <w:name w:val="Header"/>
    <w:basedOn w:val="Normal"/>
    <w:link w:val="CabealhoChar"/>
    <w:uiPriority w:val="99"/>
    <w:unhideWhenUsed/>
    <w:rsid w:val="00001a8a"/>
    <w:pPr>
      <w:tabs>
        <w:tab w:val="clear" w:pos="708"/>
        <w:tab w:val="center" w:pos="4252" w:leader="none"/>
        <w:tab w:val="right" w:pos="8504" w:leader="none"/>
      </w:tabs>
    </w:pPr>
    <w:rPr>
      <w:rFonts w:ascii="Calibri" w:hAnsi="Calibri" w:eastAsia="Calibri" w:cs="" w:asciiTheme="minorHAnsi" w:cstheme="minorBidi" w:eastAsiaTheme="minorHAnsi" w:hAnsiTheme="minorHAnsi"/>
      <w:sz w:val="22"/>
      <w:szCs w:val="22"/>
      <w:lang w:eastAsia="en-US"/>
    </w:rPr>
  </w:style>
  <w:style w:type="paragraph" w:styleId="Rodap">
    <w:name w:val="Footer"/>
    <w:basedOn w:val="Normal"/>
    <w:link w:val="RodapChar"/>
    <w:uiPriority w:val="99"/>
    <w:semiHidden/>
    <w:unhideWhenUsed/>
    <w:rsid w:val="00001a8a"/>
    <w:pPr>
      <w:tabs>
        <w:tab w:val="clear" w:pos="708"/>
        <w:tab w:val="center" w:pos="4252" w:leader="none"/>
        <w:tab w:val="right" w:pos="8504" w:leader="none"/>
      </w:tabs>
    </w:pPr>
    <w:rPr>
      <w:rFonts w:ascii="Calibri" w:hAnsi="Calibri" w:eastAsia="Calibri" w:cs="" w:asciiTheme="minorHAnsi" w:cstheme="minorBidi" w:eastAsiaTheme="minorHAnsi" w:hAnsiTheme="minorHAnsi"/>
      <w:sz w:val="22"/>
      <w:szCs w:val="22"/>
      <w:lang w:eastAsia="en-US"/>
    </w:rPr>
  </w:style>
  <w:style w:type="paragraph" w:styleId="BalloonText">
    <w:name w:val="Balloon Text"/>
    <w:basedOn w:val="Normal"/>
    <w:link w:val="TextodebaloChar"/>
    <w:uiPriority w:val="99"/>
    <w:semiHidden/>
    <w:unhideWhenUsed/>
    <w:qFormat/>
    <w:rsid w:val="00001a8a"/>
    <w:pPr/>
    <w:rPr>
      <w:rFonts w:ascii="Tahoma" w:hAnsi="Tahoma" w:eastAsia="Calibri" w:cs="Tahoma" w:eastAsiaTheme="minorHAnsi"/>
      <w:sz w:val="16"/>
      <w:szCs w:val="16"/>
      <w:lang w:eastAsia="en-US"/>
    </w:rPr>
  </w:style>
  <w:style w:type="paragraph" w:styleId="NormalWeb">
    <w:name w:val="Normal (Web)"/>
    <w:basedOn w:val="Normal"/>
    <w:unhideWhenUsed/>
    <w:qFormat/>
    <w:rsid w:val="00c84da8"/>
    <w:pPr>
      <w:spacing w:beforeAutospacing="1" w:afterAutospacing="1"/>
    </w:pPr>
    <w:rPr>
      <w:sz w:val="24"/>
      <w:szCs w:val="24"/>
      <w:lang w:eastAsia="pt-BR"/>
    </w:rPr>
  </w:style>
  <w:style w:type="paragraph" w:styleId="Recuodecorpodetexto32" w:customStyle="1">
    <w:name w:val="Recuo de corpo de texto 32"/>
    <w:basedOn w:val="Normal"/>
    <w:qFormat/>
    <w:rsid w:val="00745e5f"/>
    <w:pPr>
      <w:ind w:left="567" w:hanging="0"/>
      <w:jc w:val="center"/>
    </w:pPr>
    <w:rPr>
      <w:rFonts w:ascii="Arial" w:hAnsi="Arial" w:cs="Arial"/>
      <w:b/>
      <w:bCs/>
      <w:sz w:val="24"/>
    </w:rPr>
  </w:style>
  <w:style w:type="paragraph" w:styleId="Artigo" w:customStyle="1">
    <w:name w:val="Artigo"/>
    <w:basedOn w:val="Normal"/>
    <w:qFormat/>
    <w:rsid w:val="00c44dd4"/>
    <w:pPr>
      <w:widowControl w:val="false"/>
      <w:tabs>
        <w:tab w:val="clear" w:pos="708"/>
        <w:tab w:val="left" w:pos="2268" w:leader="none"/>
      </w:tabs>
      <w:spacing w:before="0" w:after="240"/>
      <w:ind w:left="1134" w:hanging="1134"/>
      <w:jc w:val="both"/>
    </w:pPr>
    <w:rPr>
      <w:rFonts w:ascii="Arial" w:hAnsi="Arial" w:cs="Arial"/>
      <w:sz w:val="22"/>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03DA6-240C-4125-A826-1BF6CBBC4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Application>LibreOffice/7.5.4.2$Windows_X86_64 LibreOffice_project/36ccfdc35048b057fd9854c757a8b67ec53977b6</Application>
  <AppVersion>15.0000</AppVersion>
  <Pages>16</Pages>
  <Words>5211</Words>
  <Characters>27202</Characters>
  <CharactersWithSpaces>32405</CharactersWithSpaces>
  <Paragraphs>230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2024-06-05T14:01:00Z</dcterms:created>
  <dc:creator>herbert.lustosa</dc:creator>
  <dc:description/>
  <dc:language>pt-BR</dc:language>
  <cp:lastModifiedBy/>
  <dcterms:modified xsi:type="dcterms:W3CDTF">2025-04-11T11:21:13Z</dcterms:modified>
  <cp:revision>59</cp:revision>
  <dc:subject/>
  <dc:title/>
</cp:coreProperties>
</file>

<file path=docProps/custom.xml><?xml version="1.0" encoding="utf-8"?>
<Properties xmlns="http://schemas.openxmlformats.org/officeDocument/2006/custom-properties" xmlns:vt="http://schemas.openxmlformats.org/officeDocument/2006/docPropsVTypes"/>
</file>